
<file path=[Content_Types].xml><?xml version="1.0" encoding="utf-8"?>
<Types xmlns="http://schemas.openxmlformats.org/package/2006/content-types">
  <Default Extension="xml" ContentType="application/xml"/>
  <Default Extension="rels" ContentType="application/vnd.openxmlformats-package.relationships+xml"/>
  <Default Extension="png" ContentType="image/png"/>
  <Default Extension="jpeg" ContentType="image/jpeg"/>
  <Override PartName="/_rels/.rels" ContentType="application/vnd.openxmlformats-package.relationships+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xml" ContentType="application/vnd.openxmlformats-officedocument.wordprocessingml.document.main+xml"/>
  <Override PartName="/word/footer1.xml" ContentType="application/vnd.openxmlformats-officedocument.wordprocessingml.footer+xml"/>
  <Override PartName="/word/styles.xml" ContentType="application/vnd.openxmlformats-officedocument.wordprocessingml.styles+xml"/>
  <Override PartName="/word/media/image1.png" ContentType="image/png"/>
  <Override PartName="/word/comments.xml" ContentType="application/vnd.openxmlformats-officedocument.wordprocessingml.comments+xml"/>
  <Override PartName="/word/header2.xml" ContentType="application/vnd.openxmlformats-officedocument.wordprocessingml.header+xml"/>
  <Override PartName="/word/footer3.xml" ContentType="application/vnd.openxmlformats-officedocument.wordprocessingml.footer+xml"/>
  <Override PartName="/word/header1.xml" ContentType="application/vnd.openxmlformats-officedocument.wordprocessingml.header+xml"/>
  <Override PartName="/word/header3.xml" ContentType="application/vnd.openxmlformats-officedocument.wordprocessingml.header+xml"/>
  <Override PartName="/word/footer2.xml" ContentType="application/vnd.openxmlformats-officedocument.wordprocessingml.footer+xml"/>
  <Override PartName="/word/numbering.xml" ContentType="application/vnd.openxmlformats-officedocument.wordprocessingml.numbering+xml"/>
  <Override PartName="/word/fontTable.xml" ContentType="application/vnd.openxmlformats-officedocument.wordprocessingml.fontTable+xml"/>
  <Override PartName="/word/settings.xml" ContentType="application/vnd.openxmlformats-officedocument.wordprocessingml.settings+xml"/>
  <Override PartName="/word/theme/theme1.xml" ContentType="application/vnd.openxmlformats-officedocument.theme+xml"/>
  <Override PartName="/word/_rels/document.xml.rels" ContentType="application/vnd.openxmlformats-package.relationships+xml"/>
</Types>
</file>

<file path=_rels/.rels><?xml version="1.0" encoding="UTF-8"?>
<Relationships xmlns="http://schemas.openxmlformats.org/package/2006/relationships"><Relationship Id="rId1" Type="http://schemas.openxmlformats.org/package/2006/relationships/metadata/core-properties" Target="docProps/core.xml"/><Relationship Id="rId2" Type="http://schemas.openxmlformats.org/officeDocument/2006/relationships/extended-properties" Target="docProps/app.xml"/><Relationship Id="rId3" Type="http://schemas.openxmlformats.org/officeDocument/2006/relationships/custom-properties" Target="docProps/custom.xml"/><Relationship Id="rId4" Type="http://schemas.openxmlformats.org/officeDocument/2006/relationships/officeDocument" Target="word/document.xml"/>
</Relationships>
</file>

<file path=word/document.xml><?xml version="1.0" encoding="utf-8"?>
<w:document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body>
    <w:p>
      <w:pPr>
        <w:pStyle w:val="WW-Ttulo1"/>
        <w:rPr>
          <w:rFonts w:ascii="Arial" w:hAnsi="Arial"/>
          <w:b/>
          <w:bCs/>
          <w:sz w:val="20"/>
          <w:szCs w:val="20"/>
        </w:rPr>
      </w:pPr>
      <w:r>
        <w:rPr>
          <w:rFonts w:ascii="Arial" w:hAnsi="Arial"/>
          <w:b/>
          <w:bCs/>
          <w:sz w:val="20"/>
          <w:szCs w:val="20"/>
        </w:rPr>
        <w:t>ANEXO III – MINUTA DA ATA DE REGISTRO DE PREÇOS</w:t>
      </w:r>
    </w:p>
    <w:p>
      <w:pPr>
        <w:pStyle w:val="WW-Ttulo1"/>
        <w:rPr/>
      </w:pPr>
      <w:r>
        <w:rPr/>
      </w:r>
    </w:p>
    <w:p>
      <w:pPr>
        <w:pStyle w:val="WW-Ttulo1"/>
        <w:rPr/>
      </w:pPr>
      <w:r>
        <w:rPr/>
        <w:drawing>
          <wp:inline distT="0" distB="0" distL="0" distR="0">
            <wp:extent cx="752475" cy="772160"/>
            <wp:effectExtent l="0" t="0" r="0" b="0"/>
            <wp:docPr id="1" name="Figura1" descr=""/>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Figura1" descr=""/>
                    <pic:cNvPicPr>
                      <a:picLocks noChangeAspect="1" noChangeArrowheads="1"/>
                    </pic:cNvPicPr>
                  </pic:nvPicPr>
                  <pic:blipFill>
                    <a:blip r:embed="rId2"/>
                    <a:srcRect l="-262" t="-252" r="-262" b="-252"/>
                    <a:stretch>
                      <a:fillRect/>
                    </a:stretch>
                  </pic:blipFill>
                  <pic:spPr bwMode="auto">
                    <a:xfrm>
                      <a:off x="0" y="0"/>
                      <a:ext cx="752475" cy="772160"/>
                    </a:xfrm>
                    <a:prstGeom prst="rect">
                      <a:avLst/>
                    </a:prstGeom>
                  </pic:spPr>
                </pic:pic>
              </a:graphicData>
            </a:graphic>
          </wp:inline>
        </w:drawing>
      </w:r>
    </w:p>
    <w:p>
      <w:pPr>
        <w:pStyle w:val="WW-Ttulo1"/>
        <w:spacing w:lineRule="auto" w:line="240" w:before="0" w:after="0"/>
        <w:ind w:hanging="0" w:left="0" w:right="0"/>
        <w:rPr>
          <w:rFonts w:ascii="Arial" w:hAnsi="Arial"/>
          <w:b/>
          <w:sz w:val="20"/>
          <w:szCs w:val="20"/>
        </w:rPr>
      </w:pPr>
      <w:r>
        <w:rPr>
          <w:rFonts w:ascii="Arial" w:hAnsi="Arial"/>
          <w:b/>
          <w:sz w:val="20"/>
          <w:szCs w:val="20"/>
        </w:rPr>
        <w:t>MINISTÉRIO DA DEFESA</w:t>
      </w:r>
    </w:p>
    <w:p>
      <w:pPr>
        <w:pStyle w:val="WW-Ttulo1"/>
        <w:spacing w:lineRule="auto" w:line="240" w:before="0" w:after="0"/>
        <w:ind w:hanging="0" w:left="0" w:right="0"/>
        <w:rPr>
          <w:rFonts w:ascii="Arial" w:hAnsi="Arial"/>
          <w:b/>
          <w:sz w:val="20"/>
          <w:szCs w:val="20"/>
        </w:rPr>
      </w:pPr>
      <w:r>
        <w:rPr>
          <w:rFonts w:ascii="Arial" w:hAnsi="Arial"/>
          <w:b/>
          <w:sz w:val="20"/>
          <w:szCs w:val="20"/>
        </w:rPr>
        <w:t>EXÉRCITO BRASILEIRO</w:t>
      </w:r>
    </w:p>
    <w:p>
      <w:pPr>
        <w:pStyle w:val="Normal"/>
        <w:widowControl w:val="false"/>
        <w:spacing w:lineRule="auto" w:line="240" w:before="0" w:after="0"/>
        <w:ind w:hanging="0" w:left="0" w:right="0"/>
        <w:jc w:val="center"/>
        <w:rPr>
          <w:rFonts w:ascii="Arial" w:hAnsi="Arial"/>
          <w:b/>
          <w:sz w:val="20"/>
          <w:szCs w:val="20"/>
        </w:rPr>
      </w:pPr>
      <w:r>
        <w:rPr>
          <w:rFonts w:ascii="Arial" w:hAnsi="Arial"/>
          <w:b/>
          <w:sz w:val="20"/>
          <w:szCs w:val="20"/>
        </w:rPr>
        <w:t>4º BRIGADA DE INFANTARIA LEVE DE MONTANHA</w:t>
      </w:r>
    </w:p>
    <w:p>
      <w:pPr>
        <w:pStyle w:val="Normal"/>
        <w:widowControl w:val="false"/>
        <w:spacing w:lineRule="auto" w:line="240" w:before="0" w:after="0"/>
        <w:ind w:hanging="0" w:left="0" w:right="0"/>
        <w:jc w:val="center"/>
        <w:rPr>
          <w:i w:val="false"/>
          <w:i w:val="false"/>
          <w:iCs w:val="false"/>
        </w:rPr>
      </w:pPr>
      <w:r>
        <w:rPr>
          <w:rFonts w:eastAsia="Times New Roman" w:cs="Arial" w:ascii="Arial" w:hAnsi="Arial"/>
          <w:b/>
          <w:bCs/>
          <w:i w:val="false"/>
          <w:iCs w:val="false"/>
          <w:color w:val="auto"/>
          <w:sz w:val="20"/>
          <w:szCs w:val="20"/>
        </w:rPr>
        <w:t>(4ª Bda Estrt/1908)</w:t>
      </w:r>
    </w:p>
    <w:p>
      <w:pPr>
        <w:pStyle w:val="Normal"/>
        <w:spacing w:lineRule="auto" w:line="312" w:before="288" w:after="288"/>
        <w:ind w:firstLine="567"/>
        <w:jc w:val="center"/>
        <w:rPr>
          <w:rFonts w:ascii="Arial" w:hAnsi="Arial" w:eastAsia="Times New Roman" w:cs="Arial"/>
          <w:b/>
          <w:color w:val="000000"/>
          <w:sz w:val="20"/>
          <w:szCs w:val="20"/>
        </w:rPr>
      </w:pPr>
      <w:r>
        <w:rPr>
          <w:rFonts w:cs="Arial" w:ascii="Arial" w:hAnsi="Arial"/>
          <w:b/>
          <w:color w:val="000000"/>
          <w:sz w:val="20"/>
          <w:szCs w:val="20"/>
        </w:rPr>
        <w:t xml:space="preserve">PREGÃO ELETRÔNICO Nº </w:t>
      </w:r>
      <w:r>
        <w:rPr>
          <w:rFonts w:eastAsia="ＭＳ 明朝" w:cs="Arial" w:ascii="Arial" w:hAnsi="Arial"/>
          <w:b/>
          <w:color w:val="000000"/>
          <w:kern w:val="0"/>
          <w:sz w:val="20"/>
          <w:szCs w:val="20"/>
          <w:lang w:val="pt-BR" w:eastAsia="pt-BR" w:bidi="ar-SA"/>
        </w:rPr>
        <w:t>90.014</w:t>
      </w:r>
      <w:r>
        <w:rPr>
          <w:rFonts w:cs="Arial" w:ascii="Arial" w:hAnsi="Arial"/>
          <w:b/>
          <w:color w:val="000000"/>
          <w:sz w:val="20"/>
          <w:szCs w:val="20"/>
        </w:rPr>
        <w:t>/202</w:t>
      </w:r>
      <w:r>
        <w:rPr>
          <w:rFonts w:eastAsia="ＭＳ 明朝" w:cs="Arial" w:ascii="Arial" w:hAnsi="Arial"/>
          <w:b/>
          <w:color w:val="000000"/>
          <w:kern w:val="0"/>
          <w:sz w:val="20"/>
          <w:szCs w:val="20"/>
          <w:lang w:val="pt-BR" w:eastAsia="pt-BR" w:bidi="ar-SA"/>
        </w:rPr>
        <w:t>5</w:t>
      </w:r>
    </w:p>
    <w:p>
      <w:pPr>
        <w:pStyle w:val="Normal"/>
        <w:spacing w:lineRule="auto" w:line="312" w:before="288" w:after="288"/>
        <w:ind w:firstLine="567"/>
        <w:jc w:val="center"/>
        <w:rPr>
          <w:i w:val="false"/>
          <w:i w:val="false"/>
          <w:iCs w:val="false"/>
        </w:rPr>
      </w:pPr>
      <w:r>
        <w:rPr>
          <w:rFonts w:cs="Arial" w:ascii="Arial" w:hAnsi="Arial"/>
          <w:b/>
          <w:bCs/>
          <w:i w:val="false"/>
          <w:iCs w:val="false"/>
          <w:color w:val="auto"/>
          <w:sz w:val="20"/>
          <w:szCs w:val="20"/>
        </w:rPr>
        <w:t xml:space="preserve">(Processo Administrativo n° </w:t>
      </w:r>
      <w:r>
        <w:rPr>
          <w:rFonts w:eastAsia="Times New Roman" w:cs="Arial" w:ascii="Arial" w:hAnsi="Arial"/>
          <w:b/>
          <w:bCs/>
          <w:i w:val="false"/>
          <w:iCs w:val="false"/>
          <w:color w:val="000000"/>
          <w:kern w:val="0"/>
          <w:sz w:val="20"/>
          <w:szCs w:val="20"/>
          <w:shd w:fill="FFFFFF" w:val="clear"/>
          <w:lang w:val="pt-BR" w:eastAsia="pt-BR" w:bidi="ar-SA"/>
        </w:rPr>
        <w:t>64336.001436/2025-73</w:t>
      </w:r>
      <w:r>
        <w:rPr>
          <w:rFonts w:cs="Arial" w:ascii="Arial" w:hAnsi="Arial"/>
          <w:b/>
          <w:bCs/>
          <w:i w:val="false"/>
          <w:iCs w:val="false"/>
          <w:color w:val="auto"/>
          <w:sz w:val="20"/>
          <w:szCs w:val="20"/>
        </w:rPr>
        <w:t>)</w:t>
      </w:r>
    </w:p>
    <w:p>
      <w:pPr>
        <w:pStyle w:val="Normal"/>
        <w:widowControl w:val="false"/>
        <w:ind w:hanging="0" w:right="-30"/>
        <w:jc w:val="center"/>
        <w:rPr>
          <w:rFonts w:ascii="Times New Roman" w:hAnsi="Times New Roman" w:cs="Times New Roman"/>
          <w:sz w:val="20"/>
          <w:szCs w:val="20"/>
        </w:rPr>
      </w:pPr>
      <w:r>
        <w:rPr>
          <w:rFonts w:cs="Times New Roman" w:ascii="Times New Roman" w:hAnsi="Times New Roman"/>
          <w:sz w:val="20"/>
          <w:szCs w:val="20"/>
        </w:rPr>
      </w:r>
    </w:p>
    <w:p>
      <w:pPr>
        <w:pStyle w:val="Normal"/>
        <w:widowControl w:val="false"/>
        <w:spacing w:lineRule="auto" w:line="360"/>
        <w:ind w:hanging="0" w:right="-15"/>
        <w:jc w:val="center"/>
        <w:rPr>
          <w:rFonts w:ascii="Arial" w:hAnsi="Arial"/>
          <w:i w:val="false"/>
          <w:i w:val="false"/>
          <w:iCs w:val="false"/>
          <w:color w:val="auto"/>
        </w:rPr>
      </w:pPr>
      <w:r>
        <w:rPr>
          <w:rFonts w:eastAsia="Calibri" w:cs="Times New Roman" w:ascii="Arial" w:hAnsi="Arial"/>
          <w:b/>
          <w:i w:val="false"/>
          <w:iCs w:val="false"/>
          <w:color w:val="auto"/>
          <w:sz w:val="20"/>
          <w:szCs w:val="20"/>
          <w:lang w:eastAsia="en-US"/>
        </w:rPr>
        <w:t xml:space="preserve">ATA DE REGISTRO DE PREÇOS </w:t>
      </w:r>
      <w:r>
        <w:rPr>
          <w:rFonts w:eastAsia="Calibri" w:cs="Times New Roman" w:ascii="Arial" w:hAnsi="Arial"/>
          <w:b/>
          <w:bCs/>
          <w:i w:val="false"/>
          <w:iCs w:val="false"/>
          <w:color w:val="000000"/>
          <w:sz w:val="20"/>
          <w:szCs w:val="20"/>
          <w:lang w:eastAsia="en-US"/>
        </w:rPr>
        <w:t xml:space="preserve">Nº </w:t>
      </w:r>
      <w:r>
        <w:rPr>
          <w:rFonts w:eastAsia="Times New Roman" w:cs="Times New Roman" w:ascii="Arial" w:hAnsi="Arial"/>
          <w:b/>
          <w:bCs/>
          <w:i w:val="false"/>
          <w:iCs w:val="false"/>
          <w:color w:val="auto"/>
          <w:kern w:val="0"/>
          <w:sz w:val="20"/>
          <w:szCs w:val="20"/>
          <w:lang w:val="pt-BR" w:eastAsia="pt-BR" w:bidi="ar-SA"/>
        </w:rPr>
        <w:t>XXXX</w:t>
      </w:r>
      <w:r>
        <w:rPr>
          <w:rFonts w:eastAsia="Calibri" w:cs="Times New Roman" w:ascii="Arial" w:hAnsi="Arial"/>
          <w:b/>
          <w:bCs/>
          <w:i w:val="false"/>
          <w:iCs w:val="false"/>
          <w:color w:val="auto"/>
          <w:sz w:val="20"/>
          <w:szCs w:val="20"/>
          <w:lang w:eastAsia="en-US"/>
        </w:rPr>
        <w:t>/2026</w:t>
      </w:r>
    </w:p>
    <w:p>
      <w:pPr>
        <w:pStyle w:val="Normal"/>
        <w:widowControl w:val="false"/>
        <w:spacing w:lineRule="auto" w:line="360"/>
        <w:ind w:hanging="0" w:right="-15"/>
        <w:jc w:val="center"/>
        <w:rPr>
          <w:rFonts w:ascii="Arial" w:hAnsi="Arial"/>
          <w:i w:val="false"/>
          <w:i w:val="false"/>
          <w:iCs w:val="false"/>
          <w:color w:val="auto"/>
        </w:rPr>
      </w:pPr>
      <w:r>
        <w:rPr>
          <w:rFonts w:ascii="Arial" w:hAnsi="Arial"/>
          <w:i w:val="false"/>
          <w:iCs w:val="false"/>
          <w:color w:val="auto"/>
        </w:rPr>
      </w:r>
    </w:p>
    <w:p>
      <w:pPr>
        <w:pStyle w:val="Normal"/>
        <w:widowControl w:val="false"/>
        <w:tabs>
          <w:tab w:val="clear" w:pos="708"/>
          <w:tab w:val="center" w:pos="4779" w:leader="none"/>
          <w:tab w:val="right" w:pos="9198" w:leader="none"/>
        </w:tabs>
        <w:spacing w:lineRule="auto" w:line="360"/>
        <w:ind w:hanging="0" w:right="-28"/>
        <w:jc w:val="both"/>
        <w:rPr>
          <w:rFonts w:ascii="Arial" w:hAnsi="Arial" w:cs="Arial"/>
          <w:sz w:val="20"/>
          <w:szCs w:val="20"/>
        </w:rPr>
      </w:pPr>
      <w:r>
        <w:rPr>
          <w:rFonts w:cs="Times New Roman" w:ascii="Arial" w:hAnsi="Arial"/>
          <w:b/>
          <w:bCs/>
          <w:color w:val="auto"/>
          <w:sz w:val="20"/>
          <w:szCs w:val="20"/>
        </w:rPr>
        <w:t>O COMANDO DA 4ª BRIGADA DE INFANTARIA LEVE DE MONTANHA, com sede na Rua Mariano Procópio, nº 970, Bairro Mariano Procópio, Juiz de Fora – MG, CEP 36.035-780, inscrito no CNPJ sob o nº 09.595.886/0001-38, neste ato representado pelo Cel EDUARDO SARAIVA DIAS, Ordenador de Despesas do COMANDO DA 4ª BRIGADA DE INFANTARIA LEVE DE MONTANHA, nomeado pelo Boletim Interno nº 42, de 28 de fevereiro de 2025, do Cmdo 4ª Bda Inf L Mth, por meio da DIVISÃO DA AQUISIÇÕES, LICITAÇÕES E CONTRATOS</w:t>
      </w:r>
      <w:r>
        <w:rPr>
          <w:rFonts w:cs="Times New Roman" w:ascii="Arial" w:hAnsi="Arial"/>
          <w:color w:val="auto"/>
          <w:sz w:val="20"/>
          <w:szCs w:val="20"/>
        </w:rPr>
        <w:t xml:space="preserve">, considerando o julgamento da licitação na modalidade de pregão, na forma eletrônica, para REGISTRO DE PREÇOS nº </w:t>
      </w:r>
      <w:r>
        <w:rPr>
          <w:rFonts w:eastAsia="Times New Roman" w:cs="Times New Roman" w:ascii="Arial" w:hAnsi="Arial"/>
          <w:color w:val="auto"/>
          <w:kern w:val="0"/>
          <w:sz w:val="20"/>
          <w:szCs w:val="20"/>
          <w:lang w:val="pt-BR" w:eastAsia="pt-BR" w:bidi="ar-SA"/>
        </w:rPr>
        <w:t>90014/2025</w:t>
      </w:r>
      <w:r>
        <w:rPr>
          <w:rFonts w:cs="Times New Roman" w:ascii="Arial" w:hAnsi="Arial"/>
          <w:color w:val="auto"/>
          <w:sz w:val="20"/>
          <w:szCs w:val="20"/>
        </w:rPr>
        <w:t>, publicada no …….. de  …….</w:t>
      </w:r>
      <w:r>
        <w:rPr>
          <w:rFonts w:cs="Times New Roman" w:ascii="Arial" w:hAnsi="Arial"/>
          <w:sz w:val="20"/>
          <w:szCs w:val="20"/>
        </w:rPr>
        <w:t>/…./202</w:t>
      </w:r>
      <w:r>
        <w:rPr>
          <w:rFonts w:cs="Times New Roman" w:ascii="Arial" w:hAnsi="Arial"/>
          <w:sz w:val="20"/>
          <w:szCs w:val="20"/>
        </w:rPr>
        <w:t>6</w:t>
      </w:r>
      <w:r>
        <w:rPr>
          <w:rFonts w:cs="Times New Roman" w:ascii="Arial" w:hAnsi="Arial"/>
          <w:sz w:val="20"/>
          <w:szCs w:val="20"/>
        </w:rPr>
        <w:t xml:space="preserve">, processo administrativo nº </w:t>
      </w:r>
      <w:r>
        <w:rPr>
          <w:rFonts w:eastAsia="Times New Roman" w:cs="Times New Roman" w:ascii="Arial" w:hAnsi="Arial"/>
          <w:b w:val="false"/>
          <w:bCs w:val="false"/>
          <w:i w:val="false"/>
          <w:iCs w:val="false"/>
          <w:color w:val="000000"/>
          <w:kern w:val="0"/>
          <w:sz w:val="20"/>
          <w:szCs w:val="20"/>
          <w:shd w:fill="FFFFFF" w:val="clear"/>
          <w:lang w:val="pt-BR" w:eastAsia="pt-BR" w:bidi="ar-SA"/>
        </w:rPr>
        <w:t>64336.001436/2025-73</w:t>
      </w:r>
      <w:r>
        <w:rPr>
          <w:rFonts w:eastAsia="Times New Roman" w:cs="Times New Roman" w:ascii="Arial" w:hAnsi="Arial"/>
          <w:b w:val="false"/>
          <w:bCs w:val="false"/>
          <w:color w:val="auto"/>
          <w:kern w:val="0"/>
          <w:sz w:val="20"/>
          <w:szCs w:val="20"/>
          <w:lang w:val="pt-BR" w:eastAsia="pt-BR" w:bidi="ar-SA"/>
        </w:rPr>
        <w:t>,</w:t>
      </w:r>
      <w:r>
        <w:rPr>
          <w:rFonts w:cs="Times New Roman" w:ascii="Arial" w:hAnsi="Arial"/>
          <w:sz w:val="20"/>
          <w:szCs w:val="20"/>
        </w:rPr>
        <w:t xml:space="preserve"> RESOLVE registrar os preços da(s) empresa(s) indicada(s) e qualificada(s) nesta ATA, de acordo com a classificação por ela(s) alcançada(s) e na(s) quantidade(s) cotada(s), atendendo as condições previstas no Edital de licitação, sujeitando-se as partes às normas constantes na Lei nº </w:t>
      </w:r>
      <w:r>
        <w:rPr>
          <w:rFonts w:cs="Arial" w:ascii="Arial" w:hAnsi="Arial"/>
          <w:sz w:val="20"/>
          <w:szCs w:val="20"/>
        </w:rPr>
        <w:t>14.133, de 1º de abril de 2021, no Decreto n.º 11.462, de 31 de março de 2023, e em conformidade com as disposições a seguir:</w:t>
      </w:r>
    </w:p>
    <w:p>
      <w:pPr>
        <w:pStyle w:val="Nivel01"/>
        <w:numPr>
          <w:ilvl w:val="0"/>
          <w:numId w:val="1"/>
        </w:numPr>
        <w:ind w:hanging="0" w:left="0"/>
        <w:rPr/>
      </w:pPr>
      <w:r>
        <w:rPr/>
        <w:t>DO OBJETO</w:t>
      </w:r>
    </w:p>
    <w:p>
      <w:pPr>
        <w:pStyle w:val="Nivel2"/>
        <w:widowControl/>
        <w:numPr>
          <w:ilvl w:val="1"/>
          <w:numId w:val="1"/>
        </w:numPr>
        <w:bidi w:val="0"/>
        <w:spacing w:lineRule="auto" w:line="276" w:before="120" w:after="120"/>
        <w:ind w:hanging="0" w:left="567" w:right="0"/>
        <w:jc w:val="both"/>
        <w:rPr>
          <w:rFonts w:ascii="Arial" w:hAnsi="Arial"/>
        </w:rPr>
      </w:pPr>
      <w:r>
        <w:rPr>
          <w:rFonts w:cs="Times New Roman"/>
          <w:sz w:val="20"/>
          <w:szCs w:val="20"/>
        </w:rPr>
        <w:t>A presente Ata tem por objeto o registro de preços para c</w:t>
      </w:r>
      <w:r>
        <w:rPr>
          <w:rFonts w:eastAsia="Times New Roman" w:cs="Times New Roman"/>
          <w:color w:val="auto"/>
          <w:kern w:val="0"/>
          <w:sz w:val="20"/>
          <w:szCs w:val="20"/>
          <w:lang w:val="pt-BR" w:eastAsia="pt-BR" w:bidi="ar-SA"/>
        </w:rPr>
        <w:t>ontratação de serviço de recarga de extintores de incêndio, para atender o Comando da 4ª Brigada de Infantaria Leve de Montanha, Organizações Militares Vinculadas e Unidades Participantes especificadas</w:t>
      </w:r>
      <w:r>
        <w:rPr>
          <w:rFonts w:cs="Times New Roman"/>
          <w:sz w:val="20"/>
          <w:szCs w:val="20"/>
        </w:rPr>
        <w:t xml:space="preserve"> no(s) item(ns) 01 a </w:t>
      </w:r>
      <w:r>
        <w:rPr>
          <w:rFonts w:eastAsia="Times New Roman" w:cs="Times New Roman"/>
          <w:color w:val="00000A"/>
          <w:kern w:val="0"/>
          <w:sz w:val="20"/>
          <w:szCs w:val="20"/>
          <w:lang w:val="pt-BR" w:eastAsia="pt-BR" w:bidi="ar-SA"/>
        </w:rPr>
        <w:t>16</w:t>
      </w:r>
      <w:r>
        <w:rPr>
          <w:rFonts w:cs="Times New Roman"/>
          <w:sz w:val="20"/>
          <w:szCs w:val="20"/>
        </w:rPr>
        <w:t xml:space="preserve"> do Termo de Referência, Anexo I do Edital de </w:t>
      </w:r>
      <w:r>
        <w:rPr>
          <w:rFonts w:eastAsia="Times New Roman" w:cs="Times New Roman"/>
          <w:color w:val="00000A"/>
          <w:kern w:val="0"/>
          <w:sz w:val="20"/>
          <w:szCs w:val="20"/>
          <w:lang w:val="pt-BR" w:eastAsia="pt-BR" w:bidi="ar-SA"/>
        </w:rPr>
        <w:t>L</w:t>
      </w:r>
      <w:r>
        <w:rPr>
          <w:rFonts w:cs="Times New Roman"/>
          <w:sz w:val="20"/>
          <w:szCs w:val="20"/>
        </w:rPr>
        <w:t xml:space="preserve">icitação nº </w:t>
      </w:r>
      <w:r>
        <w:rPr>
          <w:rFonts w:eastAsia="Times New Roman" w:cs="Times New Roman"/>
          <w:color w:val="00000A"/>
          <w:kern w:val="0"/>
          <w:sz w:val="20"/>
          <w:szCs w:val="20"/>
          <w:lang w:val="pt-BR" w:eastAsia="pt-BR" w:bidi="ar-SA"/>
        </w:rPr>
        <w:t>90014/2025</w:t>
      </w:r>
      <w:r>
        <w:rPr>
          <w:rFonts w:cs="Times New Roman"/>
          <w:sz w:val="20"/>
          <w:szCs w:val="20"/>
        </w:rPr>
        <w:t>, que é parte integrante desta Ata, assim como a proposta vencedora, independentemente de transcrição.</w:t>
      </w:r>
    </w:p>
    <w:p>
      <w:pPr>
        <w:pStyle w:val="Nivel01"/>
        <w:numPr>
          <w:ilvl w:val="0"/>
          <w:numId w:val="1"/>
        </w:numPr>
        <w:ind w:hanging="0" w:left="0"/>
        <w:rPr/>
      </w:pPr>
      <w:r>
        <w:rPr/>
        <w:t>DOS PREÇOS, ESPECIFICAÇÕES E QUANTITATIVOS</w:t>
      </w:r>
    </w:p>
    <w:p>
      <w:pPr>
        <w:pStyle w:val="Nivel2"/>
        <w:numPr>
          <w:ilvl w:val="1"/>
          <w:numId w:val="1"/>
        </w:numPr>
        <w:ind w:hanging="0" w:left="0"/>
        <w:rPr/>
      </w:pPr>
      <w:r>
        <w:rPr/>
        <w:t xml:space="preserve">O preço registrado, as especificações do objeto, as quantidades mínimas e máximas de cada item, fornecedor(es) e as demais condições ofertadas na(s) proposta(s) são as que seguem: </w:t>
      </w:r>
    </w:p>
    <w:p>
      <w:pPr>
        <w:pStyle w:val="Nivel2"/>
        <w:numPr>
          <w:ilvl w:val="0"/>
          <w:numId w:val="0"/>
        </w:numPr>
        <w:ind w:hanging="0" w:left="0"/>
        <w:rPr/>
      </w:pPr>
      <w:r>
        <w:rPr/>
      </w:r>
    </w:p>
    <w:p>
      <w:pPr>
        <w:pStyle w:val="Nivel2"/>
        <w:numPr>
          <w:ilvl w:val="0"/>
          <w:numId w:val="0"/>
        </w:numPr>
        <w:ind w:hanging="0" w:left="0"/>
        <w:rPr/>
      </w:pPr>
      <w:r>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8897" w:type="dxa"/>
            <w:gridSpan w:val="8"/>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color w:val="000000"/>
              </w:rPr>
            </w:pPr>
            <w:r>
              <w:rPr>
                <w:rFonts w:cs="Arial" w:ascii="Arial" w:hAnsi="Arial"/>
                <w:color w:val="000000"/>
                <w:sz w:val="16"/>
                <w:szCs w:val="16"/>
              </w:rPr>
              <w:t xml:space="preserve">Fornecedor </w:t>
            </w:r>
            <w:r>
              <w:rPr>
                <w:rFonts w:cs="Arial" w:ascii="Arial" w:hAnsi="Arial"/>
                <w:i/>
                <w:color w:val="000000"/>
                <w:sz w:val="16"/>
                <w:szCs w:val="16"/>
              </w:rPr>
              <w:t>[razão social, CNPJ/MF, endereço, contatos, representante]</w:t>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X</w:t>
            </w:r>
          </w:p>
        </w:tc>
        <w:tc>
          <w:tcPr>
            <w:tcW w:w="1335" w:type="dxa"/>
            <w:tcBorders>
              <w:left w:val="single" w:sz="2" w:space="0" w:color="000000"/>
              <w:bottom w:val="single" w:sz="2" w:space="0" w:color="000000"/>
            </w:tcBorders>
            <w:vAlign w:val="center"/>
          </w:tcPr>
          <w:p>
            <w:pPr>
              <w:pStyle w:val="Normal"/>
              <w:widowControl w:val="false"/>
              <w:ind w:right="-28"/>
              <w:jc w:val="center"/>
              <w:rPr>
                <w:color w:val="000000"/>
              </w:rPr>
            </w:pPr>
            <w:r>
              <w:rPr>
                <w:rFonts w:cs="Arial" w:ascii="Arial" w:hAnsi="Arial"/>
                <w:color w:val="000000"/>
                <w:sz w:val="16"/>
                <w:szCs w:val="16"/>
              </w:rPr>
              <w:t>Especificação</w:t>
            </w:r>
          </w:p>
        </w:tc>
        <w:tc>
          <w:tcPr>
            <w:tcW w:w="1254" w:type="dxa"/>
            <w:tcBorders>
              <w:left w:val="single" w:sz="2" w:space="0" w:color="000000"/>
              <w:bottom w:val="single" w:sz="2" w:space="0" w:color="000000"/>
            </w:tcBorders>
            <w:vAlign w:val="center"/>
          </w:tcPr>
          <w:p>
            <w:pPr>
              <w:pStyle w:val="Normal"/>
              <w:widowControl w:val="false"/>
              <w:ind w:right="-28"/>
              <w:jc w:val="center"/>
              <w:rPr>
                <w:color w:val="000000"/>
              </w:rPr>
            </w:pPr>
            <w:r>
              <w:rPr>
                <w:rFonts w:cs="Arial" w:ascii="Arial" w:hAnsi="Arial"/>
                <w:color w:val="000000"/>
                <w:sz w:val="16"/>
                <w:szCs w:val="16"/>
              </w:rPr>
              <w:t>Marca</w:t>
            </w:r>
          </w:p>
          <w:p>
            <w:pPr>
              <w:pStyle w:val="Normal"/>
              <w:widowControl w:val="false"/>
              <w:ind w:right="-28"/>
              <w:jc w:val="center"/>
              <w:rPr>
                <w:color w:val="000000"/>
              </w:rPr>
            </w:pPr>
            <w:r>
              <w:rPr>
                <w:rFonts w:cs="Arial" w:ascii="Arial" w:hAnsi="Arial"/>
                <w:i/>
                <w:iCs/>
                <w:color w:val="000000"/>
                <w:sz w:val="16"/>
                <w:szCs w:val="16"/>
              </w:rPr>
              <w:t>(se exigida no edital)</w:t>
            </w:r>
          </w:p>
        </w:tc>
        <w:tc>
          <w:tcPr>
            <w:tcW w:w="1540" w:type="dxa"/>
            <w:tcBorders>
              <w:left w:val="single" w:sz="2" w:space="0" w:color="000000"/>
              <w:bottom w:val="single" w:sz="2" w:space="0" w:color="000000"/>
            </w:tcBorders>
            <w:vAlign w:val="center"/>
          </w:tcPr>
          <w:p>
            <w:pPr>
              <w:pStyle w:val="Normal"/>
              <w:widowControl w:val="false"/>
              <w:ind w:right="-28"/>
              <w:jc w:val="center"/>
              <w:rPr>
                <w:color w:val="000000"/>
              </w:rPr>
            </w:pPr>
            <w:r>
              <w:rPr>
                <w:rFonts w:cs="Arial" w:ascii="Arial" w:hAnsi="Arial"/>
                <w:color w:val="000000"/>
                <w:sz w:val="16"/>
                <w:szCs w:val="16"/>
              </w:rPr>
              <w:t>Modelo</w:t>
            </w:r>
          </w:p>
          <w:p>
            <w:pPr>
              <w:pStyle w:val="Normal"/>
              <w:widowControl w:val="false"/>
              <w:ind w:right="-28"/>
              <w:jc w:val="center"/>
              <w:rPr>
                <w:color w:val="000000"/>
              </w:rPr>
            </w:pPr>
            <w:r>
              <w:rPr>
                <w:rFonts w:cs="Arial" w:ascii="Arial" w:hAnsi="Arial"/>
                <w:i/>
                <w:iCs/>
                <w:color w:val="000000"/>
                <w:sz w:val="16"/>
                <w:szCs w:val="16"/>
              </w:rPr>
              <w:t>(se exigido no edital)</w:t>
            </w:r>
          </w:p>
        </w:tc>
        <w:tc>
          <w:tcPr>
            <w:tcW w:w="1123" w:type="dxa"/>
            <w:tcBorders>
              <w:left w:val="single" w:sz="2" w:space="0" w:color="000000"/>
              <w:bottom w:val="single" w:sz="2" w:space="0" w:color="000000"/>
            </w:tcBorders>
            <w:vAlign w:val="center"/>
          </w:tcPr>
          <w:p>
            <w:pPr>
              <w:pStyle w:val="Normal"/>
              <w:widowControl w:val="false"/>
              <w:ind w:right="-28"/>
              <w:jc w:val="center"/>
              <w:rPr>
                <w:color w:val="000000"/>
              </w:rPr>
            </w:pPr>
            <w:r>
              <w:rPr>
                <w:rFonts w:cs="Arial" w:ascii="Arial" w:hAnsi="Arial"/>
                <w:color w:val="000000"/>
                <w:sz w:val="16"/>
                <w:szCs w:val="16"/>
              </w:rPr>
              <w:t>Unidade</w:t>
            </w:r>
          </w:p>
        </w:tc>
        <w:tc>
          <w:tcPr>
            <w:tcW w:w="1119" w:type="dxa"/>
            <w:tcBorders>
              <w:left w:val="single" w:sz="2" w:space="0" w:color="000000"/>
              <w:bottom w:val="single" w:sz="2" w:space="0" w:color="000000"/>
            </w:tcBorders>
            <w:vAlign w:val="center"/>
          </w:tcPr>
          <w:p>
            <w:pPr>
              <w:pStyle w:val="Normal"/>
              <w:widowControl w:val="false"/>
              <w:ind w:right="-28"/>
              <w:jc w:val="center"/>
              <w:rPr>
                <w:color w:val="000000"/>
              </w:rPr>
            </w:pPr>
            <w:r>
              <w:rPr>
                <w:rFonts w:cs="Arial" w:ascii="Arial" w:hAnsi="Arial"/>
                <w:color w:val="000000"/>
                <w:sz w:val="16"/>
                <w:szCs w:val="16"/>
              </w:rPr>
              <w:t>Quantidade</w:t>
              <w:br/>
              <w:t>Máxima</w:t>
            </w:r>
          </w:p>
        </w:tc>
        <w:tc>
          <w:tcPr>
            <w:tcW w:w="843" w:type="dxa"/>
            <w:tcBorders>
              <w:left w:val="single" w:sz="2" w:space="0" w:color="000000"/>
              <w:bottom w:val="single" w:sz="2" w:space="0" w:color="000000"/>
              <w:right w:val="single" w:sz="2" w:space="0" w:color="000000"/>
            </w:tcBorders>
            <w:vAlign w:val="center"/>
          </w:tcPr>
          <w:p>
            <w:pPr>
              <w:pStyle w:val="Normal"/>
              <w:widowControl w:val="false"/>
              <w:ind w:right="-28"/>
              <w:jc w:val="center"/>
              <w:rPr>
                <w:color w:val="000000"/>
              </w:rPr>
            </w:pPr>
            <w:r>
              <w:rPr>
                <w:rFonts w:cs="Arial" w:ascii="Arial" w:hAnsi="Arial"/>
                <w:color w:val="000000"/>
                <w:sz w:val="16"/>
                <w:szCs w:val="16"/>
              </w:rPr>
              <w:t>Quantidade</w:t>
              <w:br/>
              <w:t>Mínima</w:t>
            </w:r>
          </w:p>
        </w:tc>
        <w:tc>
          <w:tcPr>
            <w:tcW w:w="839" w:type="dxa"/>
            <w:tcBorders>
              <w:left w:val="single" w:sz="2" w:space="0" w:color="000000"/>
              <w:bottom w:val="single" w:sz="2" w:space="0" w:color="000000"/>
            </w:tcBorders>
            <w:vAlign w:val="center"/>
          </w:tcPr>
          <w:p>
            <w:pPr>
              <w:pStyle w:val="Normal"/>
              <w:widowControl w:val="false"/>
              <w:ind w:right="-28"/>
              <w:jc w:val="center"/>
              <w:rPr>
                <w:color w:val="000000"/>
              </w:rPr>
            </w:pPr>
            <w:r>
              <w:rPr>
                <w:rFonts w:cs="Arial" w:ascii="Arial" w:hAnsi="Arial"/>
                <w:color w:val="000000"/>
                <w:sz w:val="16"/>
                <w:szCs w:val="16"/>
              </w:rPr>
              <w:t>Valor</w:t>
              <w:br/>
              <w:t>Unitário</w:t>
            </w:r>
          </w:p>
        </w:tc>
        <w:tc>
          <w:tcPr>
            <w:tcW w:w="844" w:type="dxa"/>
            <w:tcBorders>
              <w:left w:val="single" w:sz="2" w:space="0" w:color="000000"/>
              <w:bottom w:val="single" w:sz="2" w:space="0" w:color="000000"/>
              <w:right w:val="single" w:sz="2" w:space="0" w:color="000000"/>
            </w:tcBorders>
            <w:vAlign w:val="center"/>
          </w:tcPr>
          <w:p>
            <w:pPr>
              <w:pStyle w:val="Normal"/>
              <w:widowControl w:val="false"/>
              <w:ind w:right="-28"/>
              <w:jc w:val="center"/>
              <w:rPr>
                <w:color w:val="000000"/>
              </w:rPr>
            </w:pPr>
            <w:r>
              <w:rPr>
                <w:rFonts w:cs="Arial" w:ascii="Arial" w:hAnsi="Arial"/>
                <w:color w:val="000000"/>
                <w:sz w:val="16"/>
                <w:szCs w:val="16"/>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5" w:type="dxa"/>
            <w:tcBorders>
              <w:left w:val="single" w:sz="2" w:space="0" w:color="000000"/>
              <w:bottom w:val="single" w:sz="2" w:space="0" w:color="000000"/>
            </w:tcBorders>
            <w:vAlign w:val="center"/>
          </w:tcPr>
          <w:p>
            <w:pPr>
              <w:pStyle w:val="Normal"/>
              <w:widowControl w:val="false"/>
              <w:spacing w:lineRule="auto" w:line="360"/>
              <w:ind w:right="-30"/>
              <w:jc w:val="center"/>
              <w:rPr>
                <w:rFonts w:ascii="Arial" w:hAnsi="Arial" w:cs="Arial"/>
                <w:color w:val="000000"/>
                <w:sz w:val="16"/>
                <w:szCs w:val="16"/>
              </w:rPr>
            </w:pPr>
            <w:r>
              <w:rPr>
                <w:rFonts w:cs="Arial" w:ascii="Arial" w:hAnsi="Arial"/>
                <w:color w:val="000000"/>
                <w:sz w:val="16"/>
                <w:szCs w:val="16"/>
              </w:rPr>
            </w:r>
          </w:p>
        </w:tc>
        <w:tc>
          <w:tcPr>
            <w:tcW w:w="1254" w:type="dxa"/>
            <w:tcBorders>
              <w:left w:val="single" w:sz="2" w:space="0" w:color="000000"/>
              <w:bottom w:val="single" w:sz="2" w:space="0" w:color="000000"/>
            </w:tcBorders>
            <w:vAlign w:val="center"/>
          </w:tcPr>
          <w:p>
            <w:pPr>
              <w:pStyle w:val="Normal"/>
              <w:widowControl w:val="false"/>
              <w:spacing w:lineRule="auto" w:line="360"/>
              <w:ind w:right="-30"/>
              <w:jc w:val="center"/>
              <w:rPr>
                <w:rFonts w:ascii="Arial" w:hAnsi="Arial" w:cs="Arial"/>
                <w:color w:val="000000"/>
                <w:sz w:val="16"/>
                <w:szCs w:val="16"/>
              </w:rPr>
            </w:pPr>
            <w:r>
              <w:rPr>
                <w:rFonts w:cs="Arial" w:ascii="Arial" w:hAnsi="Arial"/>
                <w:color w:val="000000"/>
                <w:sz w:val="16"/>
                <w:szCs w:val="16"/>
              </w:rPr>
            </w:r>
          </w:p>
        </w:tc>
        <w:tc>
          <w:tcPr>
            <w:tcW w:w="1540" w:type="dxa"/>
            <w:tcBorders>
              <w:left w:val="single" w:sz="2" w:space="0" w:color="000000"/>
              <w:bottom w:val="single" w:sz="2" w:space="0" w:color="000000"/>
            </w:tcBorders>
            <w:vAlign w:val="center"/>
          </w:tcPr>
          <w:p>
            <w:pPr>
              <w:pStyle w:val="Normal"/>
              <w:widowControl w:val="false"/>
              <w:spacing w:lineRule="auto" w:line="360"/>
              <w:ind w:right="-30"/>
              <w:jc w:val="center"/>
              <w:rPr>
                <w:rFonts w:ascii="Arial" w:hAnsi="Arial" w:cs="Arial"/>
                <w:color w:val="000000"/>
                <w:sz w:val="16"/>
                <w:szCs w:val="16"/>
              </w:rPr>
            </w:pPr>
            <w:r>
              <w:rPr>
                <w:rFonts w:cs="Arial" w:ascii="Arial" w:hAnsi="Arial"/>
                <w:color w:val="000000"/>
                <w:sz w:val="16"/>
                <w:szCs w:val="16"/>
              </w:rPr>
            </w:r>
          </w:p>
        </w:tc>
        <w:tc>
          <w:tcPr>
            <w:tcW w:w="1123" w:type="dxa"/>
            <w:tcBorders>
              <w:left w:val="single" w:sz="2" w:space="0" w:color="000000"/>
              <w:bottom w:val="single" w:sz="2" w:space="0" w:color="000000"/>
            </w:tcBorders>
            <w:vAlign w:val="center"/>
          </w:tcPr>
          <w:p>
            <w:pPr>
              <w:pStyle w:val="Normal"/>
              <w:widowControl w:val="false"/>
              <w:spacing w:lineRule="auto" w:line="360"/>
              <w:ind w:right="-30"/>
              <w:jc w:val="center"/>
              <w:rPr>
                <w:rFonts w:ascii="Arial" w:hAnsi="Arial" w:cs="Arial"/>
                <w:color w:val="000000"/>
                <w:sz w:val="16"/>
                <w:szCs w:val="16"/>
              </w:rPr>
            </w:pPr>
            <w:r>
              <w:rPr>
                <w:rFonts w:cs="Arial" w:ascii="Arial" w:hAnsi="Arial"/>
                <w:color w:val="000000"/>
                <w:sz w:val="16"/>
                <w:szCs w:val="16"/>
              </w:rPr>
            </w:r>
          </w:p>
        </w:tc>
        <w:tc>
          <w:tcPr>
            <w:tcW w:w="1119" w:type="dxa"/>
            <w:tcBorders>
              <w:left w:val="single" w:sz="2" w:space="0" w:color="000000"/>
              <w:bottom w:val="single" w:sz="2" w:space="0" w:color="000000"/>
            </w:tcBorders>
            <w:vAlign w:val="center"/>
          </w:tcPr>
          <w:p>
            <w:pPr>
              <w:pStyle w:val="Normal"/>
              <w:widowControl w:val="false"/>
              <w:spacing w:lineRule="auto" w:line="360"/>
              <w:ind w:right="-30"/>
              <w:jc w:val="center"/>
              <w:rPr>
                <w:rFonts w:ascii="Arial" w:hAnsi="Arial" w:cs="Arial"/>
                <w:color w:val="000000"/>
                <w:sz w:val="16"/>
                <w:szCs w:val="16"/>
              </w:rPr>
            </w:pPr>
            <w:r>
              <w:rPr>
                <w:rFonts w:cs="Arial" w:ascii="Arial" w:hAnsi="Arial"/>
                <w:color w:val="000000"/>
                <w:sz w:val="16"/>
                <w:szCs w:val="16"/>
              </w:rPr>
            </w:r>
          </w:p>
        </w:tc>
        <w:tc>
          <w:tcPr>
            <w:tcW w:w="843" w:type="dxa"/>
            <w:tcBorders>
              <w:left w:val="single" w:sz="2" w:space="0" w:color="000000"/>
              <w:bottom w:val="single" w:sz="2" w:space="0" w:color="000000"/>
              <w:right w:val="single" w:sz="2" w:space="0" w:color="000000"/>
            </w:tcBorders>
            <w:vAlign w:val="center"/>
          </w:tcPr>
          <w:p>
            <w:pPr>
              <w:pStyle w:val="Normal"/>
              <w:widowControl w:val="false"/>
              <w:spacing w:lineRule="auto" w:line="360"/>
              <w:ind w:right="-30"/>
              <w:jc w:val="center"/>
              <w:rPr>
                <w:rFonts w:ascii="Arial" w:hAnsi="Arial" w:cs="Arial"/>
                <w:color w:val="000000"/>
                <w:sz w:val="16"/>
                <w:szCs w:val="16"/>
              </w:rPr>
            </w:pPr>
            <w:r>
              <w:rPr>
                <w:rFonts w:cs="Arial" w:ascii="Arial" w:hAnsi="Arial"/>
                <w:color w:val="000000"/>
                <w:sz w:val="16"/>
                <w:szCs w:val="16"/>
              </w:rPr>
            </w:r>
          </w:p>
        </w:tc>
        <w:tc>
          <w:tcPr>
            <w:tcW w:w="839" w:type="dxa"/>
            <w:tcBorders>
              <w:left w:val="single" w:sz="2" w:space="0" w:color="000000"/>
              <w:bottom w:val="single" w:sz="2" w:space="0" w:color="000000"/>
            </w:tcBorders>
            <w:vAlign w:val="center"/>
          </w:tcPr>
          <w:p>
            <w:pPr>
              <w:pStyle w:val="Normal"/>
              <w:widowControl w:val="false"/>
              <w:spacing w:lineRule="auto" w:line="360"/>
              <w:ind w:right="-30"/>
              <w:jc w:val="center"/>
              <w:rPr>
                <w:rFonts w:ascii="Arial" w:hAnsi="Arial" w:cs="Arial"/>
                <w:color w:val="000000"/>
                <w:sz w:val="16"/>
                <w:szCs w:val="16"/>
              </w:rPr>
            </w:pPr>
            <w:r>
              <w:rPr>
                <w:rFonts w:cs="Arial" w:ascii="Arial" w:hAnsi="Arial"/>
                <w:color w:val="000000"/>
                <w:sz w:val="16"/>
                <w:szCs w:val="16"/>
              </w:rPr>
            </w:r>
          </w:p>
        </w:tc>
        <w:tc>
          <w:tcPr>
            <w:tcW w:w="844" w:type="dxa"/>
            <w:tcBorders>
              <w:left w:val="single" w:sz="2" w:space="0" w:color="000000"/>
              <w:bottom w:val="single" w:sz="2" w:space="0" w:color="000000"/>
              <w:right w:val="single" w:sz="2" w:space="0" w:color="000000"/>
            </w:tcBorders>
            <w:vAlign w:val="center"/>
          </w:tcPr>
          <w:p>
            <w:pPr>
              <w:pStyle w:val="Normal"/>
              <w:widowControl w:val="false"/>
              <w:spacing w:lineRule="auto" w:line="360"/>
              <w:ind w:right="-30"/>
              <w:jc w:val="center"/>
              <w:rPr>
                <w:rFonts w:ascii="Arial" w:hAnsi="Arial" w:cs="Arial"/>
                <w:color w:val="000000"/>
                <w:sz w:val="16"/>
                <w:szCs w:val="16"/>
              </w:rPr>
            </w:pPr>
            <w:r>
              <w:rPr>
                <w:rFonts w:cs="Arial" w:ascii="Arial" w:hAnsi="Arial"/>
                <w:color w:val="000000"/>
                <w:sz w:val="16"/>
                <w:szCs w:val="16"/>
              </w:rPr>
            </w:r>
          </w:p>
        </w:tc>
      </w:tr>
    </w:tbl>
    <w:p>
      <w:pPr>
        <w:pStyle w:val="Normal"/>
        <w:spacing w:lineRule="auto" w:line="360"/>
        <w:rPr>
          <w:rFonts w:ascii="Arial" w:hAnsi="Arial" w:cs="Arial"/>
          <w:sz w:val="20"/>
          <w:szCs w:val="20"/>
          <w:lang w:eastAsia="en-US"/>
        </w:rPr>
      </w:pPr>
      <w:r>
        <w:rPr>
          <w:rFonts w:cs="Arial" w:ascii="Arial" w:hAnsi="Arial"/>
          <w:sz w:val="20"/>
          <w:szCs w:val="20"/>
          <w:lang w:eastAsia="en-US"/>
        </w:rPr>
      </w:r>
    </w:p>
    <w:p>
      <w:pPr>
        <w:pStyle w:val="Nivel2"/>
        <w:numPr>
          <w:ilvl w:val="1"/>
          <w:numId w:val="1"/>
        </w:numPr>
        <w:ind w:hanging="0" w:left="0"/>
        <w:rPr>
          <w:lang w:eastAsia="en-US"/>
        </w:rPr>
      </w:pPr>
      <w:r>
        <w:rPr>
          <w:lang w:eastAsia="en-US"/>
        </w:rPr>
        <w:t>A listagem do cadastro de reserva referente ao presente registro de preços consta como anexo a esta Ata.</w:t>
      </w:r>
    </w:p>
    <w:p>
      <w:pPr>
        <w:pStyle w:val="Nivel01"/>
        <w:numPr>
          <w:ilvl w:val="0"/>
          <w:numId w:val="1"/>
        </w:numPr>
        <w:ind w:hanging="0" w:left="0"/>
        <w:rPr/>
      </w:pPr>
      <w:r>
        <w:rPr/>
        <w:t>ÓRGÃO(S) GERENCIADOR E PARTICIPANTE(S)</w:t>
      </w:r>
    </w:p>
    <w:p>
      <w:pPr>
        <w:pStyle w:val="Nivel2"/>
        <w:numPr>
          <w:ilvl w:val="1"/>
          <w:numId w:val="1"/>
        </w:numPr>
        <w:ind w:hanging="0" w:left="567" w:right="0"/>
        <w:rPr>
          <w:rFonts w:ascii="Arial" w:hAnsi="Arial"/>
        </w:rPr>
      </w:pPr>
      <w:r>
        <w:rPr/>
        <w:t xml:space="preserve">O órgão gerenciador será </w:t>
      </w:r>
      <w:r>
        <w:rPr>
          <w:rFonts w:cs="Times New Roman"/>
          <w:color w:val="000000"/>
          <w:sz w:val="20"/>
          <w:szCs w:val="20"/>
        </w:rPr>
        <w:t>o COMANDO DA 4ª BRIGADA DE INFANTARIA LEVE DE MONTANHA, situado na Rua Mariano Procópio nº 970, Bairro Mariano Procópio, Juiz de Fora – MG – CEP: 36.035-780.</w:t>
      </w:r>
    </w:p>
    <w:p>
      <w:pPr>
        <w:pStyle w:val="Normal"/>
        <w:widowControl/>
        <w:numPr>
          <w:ilvl w:val="1"/>
          <w:numId w:val="1"/>
        </w:numPr>
        <w:bidi w:val="0"/>
        <w:spacing w:lineRule="auto" w:line="276" w:before="119" w:after="119"/>
        <w:ind w:hanging="0" w:left="567" w:right="0"/>
        <w:jc w:val="both"/>
        <w:rPr>
          <w:rFonts w:ascii="Arial" w:hAnsi="Arial"/>
        </w:rPr>
      </w:pPr>
      <w:r>
        <w:rPr>
          <w:rFonts w:cs="Times New Roman" w:ascii="Arial" w:hAnsi="Arial"/>
          <w:color w:val="000000"/>
          <w:sz w:val="20"/>
          <w:szCs w:val="20"/>
        </w:rPr>
        <w:t>São Organizações Militares vinculadas administrativamente ao COMANDO DA 4ª BRIGADA DE INFANTARIA LEVE DE MONTANHA:</w:t>
      </w:r>
    </w:p>
    <w:tbl>
      <w:tblPr>
        <w:tblW w:w="9413" w:type="dxa"/>
        <w:jc w:val="left"/>
        <w:tblInd w:w="3" w:type="dxa"/>
        <w:tblLayout w:type="fixed"/>
        <w:tblCellMar>
          <w:top w:w="55" w:type="dxa"/>
          <w:left w:w="27" w:type="dxa"/>
          <w:bottom w:w="55" w:type="dxa"/>
          <w:right w:w="55" w:type="dxa"/>
        </w:tblCellMar>
        <w:tblLook w:firstRow="1" w:noVBand="1" w:lastRow="0" w:firstColumn="1" w:lastColumn="0" w:noHBand="0" w:val="04a0"/>
      </w:tblPr>
      <w:tblGrid>
        <w:gridCol w:w="3188"/>
        <w:gridCol w:w="6224"/>
      </w:tblGrid>
      <w:tr>
        <w:trPr/>
        <w:tc>
          <w:tcPr>
            <w:tcW w:w="3188" w:type="dxa"/>
            <w:tcBorders>
              <w:top w:val="single" w:sz="2" w:space="0" w:color="000001"/>
              <w:left w:val="single" w:sz="2" w:space="0" w:color="000001"/>
              <w:bottom w:val="single" w:sz="2" w:space="0" w:color="000001"/>
            </w:tcBorders>
            <w:shd w:color="auto" w:fill="999999" w:val="clear"/>
            <w:vAlign w:val="center"/>
          </w:tcPr>
          <w:p>
            <w:pPr>
              <w:pStyle w:val="Contedodatabela"/>
              <w:widowControl w:val="false"/>
              <w:jc w:val="center"/>
              <w:rPr>
                <w:rFonts w:ascii="Arial" w:hAnsi="Arial" w:cs="Times New Roman"/>
                <w:sz w:val="20"/>
                <w:szCs w:val="20"/>
              </w:rPr>
            </w:pPr>
            <w:r>
              <w:rPr>
                <w:rFonts w:cs="Times New Roman" w:ascii="Arial" w:hAnsi="Arial"/>
                <w:b/>
                <w:bCs/>
                <w:color w:val="000000"/>
                <w:sz w:val="20"/>
                <w:szCs w:val="20"/>
              </w:rPr>
              <w:t>LOCAL</w:t>
            </w:r>
          </w:p>
        </w:tc>
        <w:tc>
          <w:tcPr>
            <w:tcW w:w="6224" w:type="dxa"/>
            <w:tcBorders>
              <w:top w:val="single" w:sz="2" w:space="0" w:color="000001"/>
              <w:left w:val="single" w:sz="2" w:space="0" w:color="000001"/>
              <w:bottom w:val="single" w:sz="2" w:space="0" w:color="000001"/>
              <w:right w:val="single" w:sz="2" w:space="0" w:color="000001"/>
            </w:tcBorders>
            <w:shd w:color="auto" w:fill="999999" w:val="clear"/>
            <w:vAlign w:val="center"/>
          </w:tcPr>
          <w:p>
            <w:pPr>
              <w:pStyle w:val="Contedodatabela"/>
              <w:widowControl w:val="false"/>
              <w:jc w:val="center"/>
              <w:rPr>
                <w:rFonts w:ascii="Arial" w:hAnsi="Arial" w:cs="Times New Roman"/>
                <w:sz w:val="20"/>
                <w:szCs w:val="20"/>
              </w:rPr>
            </w:pPr>
            <w:r>
              <w:rPr>
                <w:rFonts w:cs="Times New Roman" w:ascii="Arial" w:hAnsi="Arial"/>
                <w:b/>
                <w:bCs/>
                <w:color w:val="000000"/>
                <w:sz w:val="20"/>
                <w:szCs w:val="20"/>
              </w:rPr>
              <w:t>ENDEREÇO</w:t>
            </w:r>
          </w:p>
        </w:tc>
      </w:tr>
      <w:tr>
        <w:trPr/>
        <w:tc>
          <w:tcPr>
            <w:tcW w:w="3188" w:type="dxa"/>
            <w:tcBorders>
              <w:top w:val="single" w:sz="2" w:space="0" w:color="000001"/>
              <w:left w:val="single" w:sz="2" w:space="0" w:color="000001"/>
              <w:bottom w:val="single" w:sz="2" w:space="0" w:color="000001"/>
            </w:tcBorders>
            <w:shd w:color="auto" w:fill="auto" w:val="clear"/>
            <w:vAlign w:val="center"/>
          </w:tcPr>
          <w:p>
            <w:pPr>
              <w:pStyle w:val="Normal"/>
              <w:widowControl w:val="false"/>
              <w:tabs>
                <w:tab w:val="clear" w:pos="708"/>
                <w:tab w:val="left" w:pos="630" w:leader="none"/>
                <w:tab w:val="left" w:pos="960" w:leader="none"/>
                <w:tab w:val="left" w:pos="1590" w:leader="none"/>
                <w:tab w:val="left" w:pos="1650" w:leader="none"/>
              </w:tabs>
              <w:spacing w:lineRule="atLeast" w:line="100"/>
              <w:jc w:val="center"/>
              <w:rPr/>
            </w:pPr>
            <w:r>
              <w:rPr>
                <w:rStyle w:val="Fontepargpadro1"/>
                <w:rFonts w:cs="Times New Roman" w:ascii="Arial" w:hAnsi="Arial"/>
                <w:iCs/>
                <w:color w:val="000000"/>
                <w:sz w:val="18"/>
                <w:szCs w:val="18"/>
                <w:highlight w:val="white"/>
              </w:rPr>
              <w:t>CAMPO DE INSTRUÇÃO DE JUIZ DE FORA/CENTRO DE EDUCAÇÃO AMBIENTAL E CULTURA</w:t>
            </w:r>
          </w:p>
        </w:tc>
        <w:tc>
          <w:tcPr>
            <w:tcW w:w="6224" w:type="dxa"/>
            <w:tcBorders>
              <w:top w:val="single" w:sz="2" w:space="0" w:color="000001"/>
              <w:left w:val="single" w:sz="2" w:space="0" w:color="000001"/>
              <w:bottom w:val="single" w:sz="2" w:space="0" w:color="000001"/>
              <w:right w:val="single" w:sz="2" w:space="0" w:color="000001"/>
            </w:tcBorders>
            <w:shd w:color="auto" w:fill="auto" w:val="clear"/>
          </w:tcPr>
          <w:p>
            <w:pPr>
              <w:pStyle w:val="Normal"/>
              <w:widowControl w:val="false"/>
              <w:tabs>
                <w:tab w:val="clear" w:pos="708"/>
                <w:tab w:val="left" w:pos="630" w:leader="none"/>
                <w:tab w:val="left" w:pos="960" w:leader="none"/>
                <w:tab w:val="left" w:pos="1590" w:leader="none"/>
                <w:tab w:val="left" w:pos="1650" w:leader="none"/>
              </w:tabs>
              <w:spacing w:lineRule="atLeast" w:line="100"/>
              <w:jc w:val="both"/>
              <w:rPr>
                <w:rFonts w:ascii="Arial" w:hAnsi="Arial" w:cs="Times New Roman"/>
              </w:rPr>
            </w:pPr>
            <w:r>
              <w:rPr>
                <w:rFonts w:cs="Times New Roman" w:ascii="Arial" w:hAnsi="Arial"/>
                <w:color w:val="000000"/>
                <w:sz w:val="18"/>
                <w:szCs w:val="18"/>
                <w:highlight w:val="white"/>
              </w:rPr>
              <w:t>Estrada Ribeirão das Rosas, S/N - Bairro Barbosa Lage - Juiz de Fora – MG - CEP 36085-</w:t>
            </w:r>
            <w:r>
              <w:rPr>
                <w:rFonts w:cs="Times New Roman" w:ascii="Arial" w:hAnsi="Arial"/>
                <w:color w:val="000000"/>
                <w:sz w:val="20"/>
                <w:szCs w:val="20"/>
                <w:highlight w:val="white"/>
              </w:rPr>
              <w:t xml:space="preserve">690 </w:t>
            </w:r>
            <w:r>
              <w:rPr>
                <w:rFonts w:cs="Times New Roman" w:ascii="Arial" w:hAnsi="Arial"/>
                <w:color w:val="000000"/>
                <w:sz w:val="20"/>
                <w:szCs w:val="20"/>
                <w:highlight w:val="white"/>
                <w:lang w:eastAsia="en-US"/>
              </w:rPr>
              <w:t>(de segunda a quinta-feira de 09:30h às 11:30h e de 13:00h às 16:00h, e nas sextas-feiras de 09:00h às 11:30h (exceto feriados nacionais e municipais).</w:t>
            </w:r>
            <w:r>
              <w:rPr>
                <w:rFonts w:cs="Times New Roman" w:ascii="Arial" w:hAnsi="Arial"/>
                <w:color w:val="000000"/>
                <w:sz w:val="20"/>
                <w:szCs w:val="20"/>
                <w:lang w:eastAsia="en-US"/>
              </w:rPr>
              <w:t xml:space="preserve"> E-mail: </w:t>
            </w:r>
            <w:r>
              <w:rPr>
                <w:rFonts w:cs="Times New Roman" w:ascii="Arial" w:hAnsi="Arial"/>
                <w:sz w:val="20"/>
                <w:szCs w:val="20"/>
              </w:rPr>
              <w:t>aprovcijf@gmail.com</w:t>
            </w:r>
          </w:p>
        </w:tc>
      </w:tr>
      <w:tr>
        <w:trPr>
          <w:trHeight w:val="1091" w:hRule="atLeast"/>
        </w:trPr>
        <w:tc>
          <w:tcPr>
            <w:tcW w:w="3188" w:type="dxa"/>
            <w:tcBorders>
              <w:top w:val="single" w:sz="2" w:space="0" w:color="000001"/>
              <w:left w:val="single" w:sz="2" w:space="0" w:color="000001"/>
              <w:bottom w:val="single" w:sz="2" w:space="0" w:color="000001"/>
            </w:tcBorders>
            <w:shd w:color="auto" w:fill="auto" w:val="clear"/>
            <w:vAlign w:val="center"/>
          </w:tcPr>
          <w:p>
            <w:pPr>
              <w:pStyle w:val="Normal"/>
              <w:widowControl w:val="false"/>
              <w:tabs>
                <w:tab w:val="clear" w:pos="708"/>
                <w:tab w:val="left" w:pos="960" w:leader="none"/>
                <w:tab w:val="left" w:pos="1590" w:leader="none"/>
              </w:tabs>
              <w:spacing w:lineRule="auto" w:line="276"/>
              <w:jc w:val="center"/>
              <w:rPr>
                <w:rFonts w:ascii="Arial" w:hAnsi="Arial" w:cs="Times New Roman"/>
                <w:sz w:val="18"/>
                <w:szCs w:val="18"/>
              </w:rPr>
            </w:pPr>
            <w:r>
              <w:rPr>
                <w:rFonts w:cs="Times New Roman" w:ascii="Arial" w:hAnsi="Arial"/>
                <w:color w:val="000000"/>
                <w:sz w:val="18"/>
                <w:szCs w:val="18"/>
              </w:rPr>
              <w:t>10º BATALHÃO DE INFANTARIA LEVE DE MONTANHA</w:t>
            </w:r>
          </w:p>
        </w:tc>
        <w:tc>
          <w:tcPr>
            <w:tcW w:w="6224" w:type="dxa"/>
            <w:tcBorders>
              <w:top w:val="single" w:sz="2" w:space="0" w:color="000001"/>
              <w:left w:val="single" w:sz="2" w:space="0" w:color="000001"/>
              <w:bottom w:val="single" w:sz="2" w:space="0" w:color="000001"/>
              <w:right w:val="single" w:sz="2" w:space="0" w:color="000001"/>
            </w:tcBorders>
            <w:shd w:color="auto" w:fill="auto" w:val="clear"/>
            <w:vAlign w:val="center"/>
          </w:tcPr>
          <w:p>
            <w:pPr>
              <w:pStyle w:val="Normal"/>
              <w:widowControl w:val="false"/>
              <w:tabs>
                <w:tab w:val="clear" w:pos="708"/>
                <w:tab w:val="left" w:pos="960" w:leader="none"/>
                <w:tab w:val="left" w:pos="1590" w:leader="none"/>
              </w:tabs>
              <w:spacing w:lineRule="auto" w:line="276"/>
              <w:jc w:val="both"/>
              <w:rPr/>
            </w:pPr>
            <w:r>
              <w:rPr>
                <w:rFonts w:cs="Times New Roman" w:ascii="Arial" w:hAnsi="Arial"/>
                <w:color w:val="000000"/>
                <w:sz w:val="18"/>
                <w:szCs w:val="18"/>
              </w:rPr>
              <w:t xml:space="preserve">Rua General Gomes Carneiro, S/N - Bairro Fábrica – Juiz de Fora - MG - CEP: 36080-210 </w:t>
            </w:r>
            <w:r>
              <w:rPr>
                <w:rStyle w:val="Fontepargpadro1"/>
                <w:rFonts w:cs="Times New Roman" w:ascii="Arial" w:hAnsi="Arial"/>
                <w:iCs/>
                <w:color w:val="000000"/>
                <w:sz w:val="18"/>
                <w:szCs w:val="18"/>
                <w:highlight w:val="white"/>
                <w:lang w:eastAsia="en-US"/>
              </w:rPr>
              <w:t>(</w:t>
            </w:r>
            <w:r>
              <w:rPr>
                <w:rStyle w:val="Fontepargpadro1"/>
                <w:rFonts w:cs="Times New Roman" w:ascii="Arial" w:hAnsi="Arial"/>
                <w:color w:val="000000"/>
                <w:sz w:val="18"/>
                <w:szCs w:val="18"/>
                <w:highlight w:val="white"/>
                <w:lang w:eastAsia="en-US"/>
              </w:rPr>
              <w:t>de segunda a quinta-feira de 09:30h às 11:30h e de 13:00h às 16:00h, e nas sextas-feiras de 09:00h às 11:00h (exceto feriados nacionais e municipais).</w:t>
            </w:r>
            <w:r>
              <w:rPr>
                <w:rStyle w:val="Fontepargpadro1"/>
                <w:rFonts w:cs="Times New Roman" w:ascii="Arial" w:hAnsi="Arial"/>
                <w:color w:val="000000"/>
                <w:sz w:val="18"/>
                <w:szCs w:val="18"/>
                <w:lang w:eastAsia="en-US"/>
              </w:rPr>
              <w:t xml:space="preserve"> E-mail: aprov_10bi@yahoo.com.br</w:t>
            </w:r>
          </w:p>
        </w:tc>
      </w:tr>
      <w:tr>
        <w:trPr/>
        <w:tc>
          <w:tcPr>
            <w:tcW w:w="3188" w:type="dxa"/>
            <w:tcBorders>
              <w:top w:val="single" w:sz="2" w:space="0" w:color="000001"/>
              <w:left w:val="single" w:sz="2" w:space="0" w:color="000001"/>
              <w:bottom w:val="single" w:sz="2" w:space="0" w:color="000001"/>
            </w:tcBorders>
            <w:shd w:color="auto" w:fill="auto" w:val="clear"/>
            <w:vAlign w:val="center"/>
          </w:tcPr>
          <w:p>
            <w:pPr>
              <w:pStyle w:val="Normal"/>
              <w:widowControl w:val="false"/>
              <w:tabs>
                <w:tab w:val="clear" w:pos="708"/>
                <w:tab w:val="left" w:pos="960" w:leader="none"/>
                <w:tab w:val="left" w:pos="1590" w:leader="none"/>
              </w:tabs>
              <w:spacing w:lineRule="auto" w:line="276"/>
              <w:jc w:val="center"/>
              <w:rPr>
                <w:rFonts w:ascii="Arial" w:hAnsi="Arial" w:cs="Times New Roman"/>
                <w:sz w:val="18"/>
                <w:szCs w:val="18"/>
              </w:rPr>
            </w:pPr>
            <w:r>
              <w:rPr>
                <w:rFonts w:cs="Times New Roman" w:ascii="Arial" w:hAnsi="Arial"/>
                <w:color w:val="000000"/>
                <w:sz w:val="18"/>
                <w:szCs w:val="18"/>
              </w:rPr>
              <w:t>4º GRUPO DE ARTILHARIA</w:t>
            </w:r>
          </w:p>
          <w:p>
            <w:pPr>
              <w:pStyle w:val="Normal"/>
              <w:widowControl w:val="false"/>
              <w:tabs>
                <w:tab w:val="clear" w:pos="708"/>
                <w:tab w:val="left" w:pos="960" w:leader="none"/>
                <w:tab w:val="left" w:pos="1590" w:leader="none"/>
              </w:tabs>
              <w:spacing w:lineRule="auto" w:line="276"/>
              <w:jc w:val="center"/>
              <w:rPr>
                <w:rFonts w:ascii="Arial" w:hAnsi="Arial" w:cs="Times New Roman"/>
                <w:sz w:val="18"/>
                <w:szCs w:val="18"/>
              </w:rPr>
            </w:pPr>
            <w:r>
              <w:rPr>
                <w:rFonts w:cs="Times New Roman" w:ascii="Arial" w:hAnsi="Arial"/>
                <w:color w:val="000000"/>
                <w:sz w:val="18"/>
                <w:szCs w:val="18"/>
              </w:rPr>
              <w:t xml:space="preserve"> </w:t>
            </w:r>
            <w:r>
              <w:rPr>
                <w:rFonts w:cs="Times New Roman" w:ascii="Arial" w:hAnsi="Arial"/>
                <w:color w:val="000000"/>
                <w:sz w:val="18"/>
                <w:szCs w:val="18"/>
              </w:rPr>
              <w:t>DE CAMPANHA LEVE DE MONTANHA</w:t>
            </w:r>
          </w:p>
        </w:tc>
        <w:tc>
          <w:tcPr>
            <w:tcW w:w="6224" w:type="dxa"/>
            <w:tcBorders>
              <w:top w:val="single" w:sz="2" w:space="0" w:color="000001"/>
              <w:left w:val="single" w:sz="2" w:space="0" w:color="000001"/>
              <w:bottom w:val="single" w:sz="2" w:space="0" w:color="000001"/>
              <w:right w:val="single" w:sz="2" w:space="0" w:color="000001"/>
            </w:tcBorders>
            <w:shd w:color="auto" w:fill="auto" w:val="clear"/>
          </w:tcPr>
          <w:p>
            <w:pPr>
              <w:pStyle w:val="Normal"/>
              <w:widowControl w:val="false"/>
              <w:tabs>
                <w:tab w:val="clear" w:pos="708"/>
                <w:tab w:val="left" w:pos="960" w:leader="none"/>
                <w:tab w:val="left" w:pos="1590" w:leader="none"/>
              </w:tabs>
              <w:spacing w:lineRule="auto" w:line="276"/>
              <w:jc w:val="both"/>
              <w:rPr/>
            </w:pPr>
            <w:r>
              <w:rPr>
                <w:rFonts w:cs="Times New Roman" w:ascii="Arial" w:hAnsi="Arial"/>
                <w:color w:val="000000"/>
                <w:sz w:val="18"/>
                <w:szCs w:val="18"/>
              </w:rPr>
              <w:t xml:space="preserve">Avenida Juscelino Kubitschek, 5100 - Bairro Nova Era – Juiz de Fora - MG – CEP 36087-100 </w:t>
            </w:r>
            <w:r>
              <w:rPr>
                <w:rStyle w:val="Fontepargpadro1"/>
                <w:rFonts w:cs="Times New Roman" w:ascii="Arial" w:hAnsi="Arial"/>
                <w:iCs/>
                <w:color w:val="000000"/>
                <w:sz w:val="18"/>
                <w:szCs w:val="18"/>
                <w:highlight w:val="white"/>
                <w:lang w:eastAsia="en-US"/>
              </w:rPr>
              <w:t>(</w:t>
            </w:r>
            <w:r>
              <w:rPr>
                <w:rStyle w:val="Fontepargpadro1"/>
                <w:rFonts w:cs="Times New Roman" w:ascii="Arial" w:hAnsi="Arial"/>
                <w:color w:val="000000"/>
                <w:sz w:val="18"/>
                <w:szCs w:val="18"/>
                <w:highlight w:val="white"/>
                <w:lang w:eastAsia="en-US"/>
              </w:rPr>
              <w:t>de segunda a quinta-feira de 09:30h às 11:30h e de 13:00h às 16:00h, e nas sextas-feiras de 09:00h às 11:30h (exceto feriados nacionais e municipais).</w:t>
            </w:r>
            <w:r>
              <w:rPr>
                <w:rStyle w:val="Fontepargpadro1"/>
                <w:rFonts w:cs="Times New Roman" w:ascii="Arial" w:hAnsi="Arial"/>
                <w:color w:val="000000"/>
                <w:sz w:val="18"/>
                <w:szCs w:val="18"/>
                <w:lang w:eastAsia="en-US"/>
              </w:rPr>
              <w:t xml:space="preserve"> E-mail: aprv4gac@yahoo.com.br</w:t>
            </w:r>
          </w:p>
        </w:tc>
      </w:tr>
      <w:tr>
        <w:trPr/>
        <w:tc>
          <w:tcPr>
            <w:tcW w:w="3188" w:type="dxa"/>
            <w:tcBorders>
              <w:top w:val="single" w:sz="2" w:space="0" w:color="000001"/>
              <w:left w:val="single" w:sz="2" w:space="0" w:color="000001"/>
              <w:bottom w:val="single" w:sz="2" w:space="0" w:color="000001"/>
            </w:tcBorders>
            <w:shd w:color="auto" w:fill="auto" w:val="clear"/>
            <w:vAlign w:val="center"/>
          </w:tcPr>
          <w:p>
            <w:pPr>
              <w:pStyle w:val="Normal"/>
              <w:widowControl w:val="false"/>
              <w:tabs>
                <w:tab w:val="clear" w:pos="708"/>
                <w:tab w:val="left" w:pos="960" w:leader="none"/>
                <w:tab w:val="left" w:pos="1590" w:leader="none"/>
              </w:tabs>
              <w:spacing w:lineRule="auto" w:line="276"/>
              <w:jc w:val="center"/>
              <w:rPr>
                <w:rFonts w:ascii="Arial" w:hAnsi="Arial" w:cs="Times New Roman"/>
                <w:sz w:val="18"/>
                <w:szCs w:val="18"/>
              </w:rPr>
            </w:pPr>
            <w:r>
              <w:rPr>
                <w:rFonts w:cs="Times New Roman" w:ascii="Arial" w:hAnsi="Arial"/>
                <w:color w:val="000000"/>
                <w:sz w:val="18"/>
                <w:szCs w:val="18"/>
              </w:rPr>
              <w:t>4º ESQUADRÃO DE CAVALARIA MECANIZADO</w:t>
            </w:r>
          </w:p>
        </w:tc>
        <w:tc>
          <w:tcPr>
            <w:tcW w:w="6224" w:type="dxa"/>
            <w:tcBorders>
              <w:top w:val="single" w:sz="2" w:space="0" w:color="000001"/>
              <w:left w:val="single" w:sz="2" w:space="0" w:color="000001"/>
              <w:bottom w:val="single" w:sz="2" w:space="0" w:color="000001"/>
              <w:right w:val="single" w:sz="2" w:space="0" w:color="000001"/>
            </w:tcBorders>
            <w:shd w:color="auto" w:fill="auto" w:val="clear"/>
          </w:tcPr>
          <w:p>
            <w:pPr>
              <w:pStyle w:val="Normal"/>
              <w:widowControl w:val="false"/>
              <w:tabs>
                <w:tab w:val="clear" w:pos="708"/>
                <w:tab w:val="left" w:pos="960" w:leader="none"/>
                <w:tab w:val="left" w:pos="1590" w:leader="none"/>
              </w:tabs>
              <w:spacing w:lineRule="auto" w:line="276"/>
              <w:jc w:val="both"/>
              <w:rPr/>
            </w:pPr>
            <w:r>
              <w:rPr>
                <w:rFonts w:cs="Times New Roman" w:ascii="Arial" w:hAnsi="Arial"/>
                <w:color w:val="000000"/>
                <w:sz w:val="18"/>
                <w:szCs w:val="18"/>
              </w:rPr>
              <w:t xml:space="preserve">Rua XV de Fevereiro, 1388 - Bairro São Sebastião – Santos Dumont - MG – CEP: 36240-000 </w:t>
            </w:r>
            <w:r>
              <w:rPr>
                <w:rStyle w:val="Fontepargpadro1"/>
                <w:rFonts w:cs="Times New Roman" w:ascii="Arial" w:hAnsi="Arial"/>
                <w:iCs/>
                <w:color w:val="000000"/>
                <w:sz w:val="18"/>
                <w:szCs w:val="18"/>
                <w:highlight w:val="white"/>
                <w:lang w:eastAsia="en-US"/>
              </w:rPr>
              <w:t>(</w:t>
            </w:r>
            <w:r>
              <w:rPr>
                <w:rStyle w:val="Fontepargpadro1"/>
                <w:rFonts w:cs="Times New Roman" w:ascii="Arial" w:hAnsi="Arial"/>
                <w:color w:val="000000"/>
                <w:sz w:val="18"/>
                <w:szCs w:val="18"/>
                <w:highlight w:val="white"/>
                <w:lang w:eastAsia="en-US"/>
              </w:rPr>
              <w:t>de segunda a quinta-feira de 09:30h às 11:30h e de 13:00h às 16:00h, e nas sextas-feiras de 09:00h às 11:30h (exceto feriados nacionais e municipais).</w:t>
            </w:r>
            <w:r>
              <w:rPr>
                <w:rStyle w:val="Fontepargpadro1"/>
                <w:rFonts w:cs="Times New Roman" w:ascii="Arial" w:hAnsi="Arial"/>
                <w:color w:val="000000"/>
                <w:sz w:val="18"/>
                <w:szCs w:val="18"/>
                <w:lang w:eastAsia="en-US"/>
              </w:rPr>
              <w:t xml:space="preserve">  E-mail: aprovisionamento4esqd@gmail.com</w:t>
            </w:r>
          </w:p>
        </w:tc>
      </w:tr>
      <w:tr>
        <w:trPr/>
        <w:tc>
          <w:tcPr>
            <w:tcW w:w="3188" w:type="dxa"/>
            <w:tcBorders>
              <w:top w:val="single" w:sz="2" w:space="0" w:color="000001"/>
              <w:left w:val="single" w:sz="2" w:space="0" w:color="000001"/>
              <w:bottom w:val="single" w:sz="2" w:space="0" w:color="000001"/>
            </w:tcBorders>
            <w:shd w:color="auto" w:fill="auto" w:val="clear"/>
            <w:vAlign w:val="center"/>
          </w:tcPr>
          <w:p>
            <w:pPr>
              <w:pStyle w:val="Normal"/>
              <w:widowControl w:val="false"/>
              <w:tabs>
                <w:tab w:val="left" w:pos="708" w:leader="none"/>
              </w:tabs>
              <w:snapToGrid w:val="false"/>
              <w:spacing w:lineRule="atLeast" w:line="100"/>
              <w:jc w:val="center"/>
              <w:rPr/>
            </w:pPr>
            <w:r>
              <w:rPr>
                <w:rStyle w:val="Fontepargpadro1"/>
                <w:rFonts w:cs="Times New Roman" w:ascii="Arial" w:hAnsi="Arial"/>
                <w:color w:val="000000"/>
                <w:sz w:val="18"/>
                <w:szCs w:val="18"/>
                <w:highlight w:val="white"/>
                <w:lang w:eastAsia="en-US"/>
              </w:rPr>
              <w:t>4ª CENTRO DE GESTÃO, CONTABILIDADE E FINANÇAS DO EXÉRCITO</w:t>
            </w:r>
          </w:p>
        </w:tc>
        <w:tc>
          <w:tcPr>
            <w:tcW w:w="6224" w:type="dxa"/>
            <w:tcBorders>
              <w:top w:val="single" w:sz="2" w:space="0" w:color="000001"/>
              <w:left w:val="single" w:sz="2" w:space="0" w:color="000001"/>
              <w:bottom w:val="single" w:sz="2" w:space="0" w:color="000001"/>
              <w:right w:val="single" w:sz="2" w:space="0" w:color="000001"/>
            </w:tcBorders>
            <w:shd w:color="auto" w:fill="auto" w:val="clear"/>
          </w:tcPr>
          <w:p>
            <w:pPr>
              <w:pStyle w:val="Normal"/>
              <w:widowControl w:val="false"/>
              <w:tabs>
                <w:tab w:val="left" w:pos="708" w:leader="none"/>
              </w:tabs>
              <w:snapToGrid w:val="false"/>
              <w:spacing w:lineRule="atLeast" w:line="100"/>
              <w:jc w:val="both"/>
              <w:rPr>
                <w:rStyle w:val="Fontepargpadro1"/>
                <w:rFonts w:ascii="Arial" w:hAnsi="Arial" w:cs="Times New Roman"/>
                <w:color w:val="000000"/>
                <w:sz w:val="18"/>
                <w:szCs w:val="18"/>
                <w:lang w:eastAsia="en-US"/>
              </w:rPr>
            </w:pPr>
            <w:r>
              <w:rPr>
                <w:rStyle w:val="Fontepargpadro1"/>
                <w:rFonts w:cs="Times New Roman" w:ascii="Arial" w:hAnsi="Arial"/>
                <w:color w:val="000000"/>
                <w:sz w:val="18"/>
                <w:szCs w:val="18"/>
                <w:highlight w:val="white"/>
                <w:lang w:eastAsia="en-US"/>
              </w:rPr>
              <w:t xml:space="preserve">Rua Coronel Tancredo General Gomes Carneiro, S/N - Bairro Fábrica – Juiz de Fora – MG - CEP: 36080-240 </w:t>
            </w:r>
            <w:r>
              <w:rPr>
                <w:rStyle w:val="Fontepargpadro1"/>
                <w:rFonts w:cs="Times New Roman" w:ascii="Arial" w:hAnsi="Arial"/>
                <w:iCs/>
                <w:color w:val="000000"/>
                <w:sz w:val="18"/>
                <w:szCs w:val="18"/>
                <w:highlight w:val="white"/>
                <w:lang w:eastAsia="en-US"/>
              </w:rPr>
              <w:t>(</w:t>
            </w:r>
            <w:r>
              <w:rPr>
                <w:rStyle w:val="Fontepargpadro1"/>
                <w:rFonts w:cs="Times New Roman" w:ascii="Arial" w:hAnsi="Arial"/>
                <w:color w:val="000000"/>
                <w:sz w:val="18"/>
                <w:szCs w:val="18"/>
                <w:highlight w:val="white"/>
                <w:lang w:eastAsia="en-US"/>
              </w:rPr>
              <w:t>de segunda a quinta-feira de 09:30h às 11:30h e de 13:00h às 16:00h, e nas sextas-feiras de 09:00h às 11:30h (exceto feriados nacionais e municipais).</w:t>
            </w:r>
          </w:p>
          <w:p>
            <w:pPr>
              <w:pStyle w:val="Normal"/>
              <w:widowControl w:val="false"/>
              <w:tabs>
                <w:tab w:val="left" w:pos="708" w:leader="none"/>
              </w:tabs>
              <w:snapToGrid w:val="false"/>
              <w:spacing w:lineRule="atLeast" w:line="100"/>
              <w:jc w:val="both"/>
              <w:rPr/>
            </w:pPr>
            <w:r>
              <w:rPr>
                <w:rStyle w:val="Fontepargpadro1"/>
                <w:rFonts w:cs="Times New Roman" w:ascii="Arial" w:hAnsi="Arial"/>
                <w:color w:val="000000"/>
                <w:sz w:val="18"/>
                <w:szCs w:val="18"/>
                <w:lang w:eastAsia="en-US"/>
              </w:rPr>
              <w:t>E-mail: compra4icfex@gmail.com</w:t>
            </w:r>
          </w:p>
        </w:tc>
      </w:tr>
    </w:tbl>
    <w:p>
      <w:pPr>
        <w:pStyle w:val="Normal"/>
        <w:widowControl/>
        <w:numPr>
          <w:ilvl w:val="1"/>
          <w:numId w:val="1"/>
        </w:numPr>
        <w:bidi w:val="0"/>
        <w:spacing w:lineRule="auto" w:line="276" w:before="120" w:after="120"/>
        <w:ind w:hanging="0" w:left="567" w:right="0"/>
        <w:jc w:val="both"/>
        <w:rPr>
          <w:rFonts w:ascii="Arial" w:hAnsi="Arial"/>
        </w:rPr>
      </w:pPr>
      <w:r>
        <w:rPr>
          <w:rFonts w:cs="Times New Roman" w:ascii="Arial" w:hAnsi="Arial"/>
          <w:color w:val="000000"/>
          <w:sz w:val="20"/>
          <w:szCs w:val="20"/>
        </w:rPr>
        <w:t>São Organizações e entidades públicas participantes do registro de preços:</w:t>
      </w:r>
    </w:p>
    <w:tbl>
      <w:tblPr>
        <w:tblW w:w="9413" w:type="dxa"/>
        <w:jc w:val="left"/>
        <w:tblInd w:w="-14" w:type="dxa"/>
        <w:tblLayout w:type="fixed"/>
        <w:tblCellMar>
          <w:top w:w="55" w:type="dxa"/>
          <w:left w:w="27" w:type="dxa"/>
          <w:bottom w:w="55" w:type="dxa"/>
          <w:right w:w="55" w:type="dxa"/>
        </w:tblCellMar>
        <w:tblLook w:firstRow="1" w:noVBand="1" w:lastRow="0" w:firstColumn="1" w:lastColumn="0" w:noHBand="0" w:val="04a0"/>
      </w:tblPr>
      <w:tblGrid>
        <w:gridCol w:w="3211"/>
        <w:gridCol w:w="6201"/>
      </w:tblGrid>
      <w:tr>
        <w:trPr/>
        <w:tc>
          <w:tcPr>
            <w:tcW w:w="3211" w:type="dxa"/>
            <w:tcBorders>
              <w:top w:val="single" w:sz="2" w:space="0" w:color="000001"/>
              <w:left w:val="single" w:sz="2" w:space="0" w:color="000001"/>
              <w:bottom w:val="single" w:sz="2" w:space="0" w:color="000001"/>
            </w:tcBorders>
            <w:shd w:color="auto" w:fill="999999" w:val="clear"/>
            <w:vAlign w:val="center"/>
          </w:tcPr>
          <w:p>
            <w:pPr>
              <w:pStyle w:val="Contedodatabela"/>
              <w:widowControl w:val="false"/>
              <w:jc w:val="center"/>
              <w:rPr>
                <w:rFonts w:ascii="Arial" w:hAnsi="Arial" w:cs="Times New Roman"/>
              </w:rPr>
            </w:pPr>
            <w:r>
              <w:rPr>
                <w:rFonts w:cs="Times New Roman" w:ascii="Arial" w:hAnsi="Arial"/>
                <w:b/>
                <w:bCs/>
                <w:color w:val="000000"/>
                <w:sz w:val="20"/>
                <w:szCs w:val="20"/>
              </w:rPr>
              <w:t>LOCAL</w:t>
            </w:r>
          </w:p>
        </w:tc>
        <w:tc>
          <w:tcPr>
            <w:tcW w:w="6201" w:type="dxa"/>
            <w:tcBorders>
              <w:top w:val="single" w:sz="2" w:space="0" w:color="000001"/>
              <w:left w:val="single" w:sz="2" w:space="0" w:color="000001"/>
              <w:bottom w:val="single" w:sz="2" w:space="0" w:color="000001"/>
              <w:right w:val="single" w:sz="2" w:space="0" w:color="000001"/>
            </w:tcBorders>
            <w:shd w:color="auto" w:fill="999999" w:val="clear"/>
            <w:vAlign w:val="center"/>
          </w:tcPr>
          <w:p>
            <w:pPr>
              <w:pStyle w:val="Contedodatabela"/>
              <w:widowControl w:val="false"/>
              <w:jc w:val="center"/>
              <w:rPr>
                <w:rFonts w:ascii="Arial" w:hAnsi="Arial" w:cs="Times New Roman"/>
                <w:sz w:val="20"/>
                <w:szCs w:val="20"/>
              </w:rPr>
            </w:pPr>
            <w:r>
              <w:rPr>
                <w:rFonts w:cs="Times New Roman" w:ascii="Arial" w:hAnsi="Arial"/>
                <w:b/>
                <w:bCs/>
                <w:color w:val="000000"/>
                <w:sz w:val="20"/>
                <w:szCs w:val="20"/>
              </w:rPr>
              <w:t>ENDEREÇO</w:t>
            </w:r>
          </w:p>
        </w:tc>
      </w:tr>
      <w:tr>
        <w:trPr/>
        <w:tc>
          <w:tcPr>
            <w:tcW w:w="3211" w:type="dxa"/>
            <w:tcBorders>
              <w:top w:val="single" w:sz="2" w:space="0" w:color="000001"/>
              <w:left w:val="single" w:sz="2" w:space="0" w:color="000001"/>
              <w:bottom w:val="single" w:sz="2" w:space="0" w:color="000001"/>
            </w:tcBorders>
            <w:shd w:color="auto" w:fill="auto" w:val="clear"/>
            <w:vAlign w:val="center"/>
          </w:tcPr>
          <w:p>
            <w:pPr>
              <w:pStyle w:val="Contedodatabela"/>
              <w:widowControl w:val="false"/>
              <w:jc w:val="center"/>
              <w:rPr>
                <w:rFonts w:ascii="Arial" w:hAnsi="Arial" w:cs="Times New Roman"/>
                <w:sz w:val="18"/>
                <w:szCs w:val="18"/>
              </w:rPr>
            </w:pPr>
            <w:r>
              <w:rPr>
                <w:rFonts w:cs="Times New Roman" w:ascii="Arial" w:hAnsi="Arial"/>
                <w:color w:val="000000"/>
                <w:sz w:val="18"/>
                <w:szCs w:val="18"/>
              </w:rPr>
              <w:t>17º BATALHÃO LOGÍSTICO LEVE DE MONTANHA</w:t>
            </w:r>
          </w:p>
        </w:tc>
        <w:tc>
          <w:tcPr>
            <w:tcW w:w="6201" w:type="dxa"/>
            <w:tcBorders>
              <w:top w:val="single" w:sz="2" w:space="0" w:color="000001"/>
              <w:left w:val="single" w:sz="2" w:space="0" w:color="000001"/>
              <w:bottom w:val="single" w:sz="2" w:space="0" w:color="000001"/>
              <w:right w:val="single" w:sz="2" w:space="0" w:color="000001"/>
            </w:tcBorders>
            <w:shd w:color="auto" w:fill="auto" w:val="clear"/>
          </w:tcPr>
          <w:p>
            <w:pPr>
              <w:pStyle w:val="Contedodatabela"/>
              <w:widowControl w:val="false"/>
              <w:jc w:val="both"/>
              <w:rPr>
                <w:rFonts w:ascii="Arial" w:hAnsi="Arial" w:cs="Times New Roman"/>
                <w:sz w:val="18"/>
                <w:szCs w:val="18"/>
              </w:rPr>
            </w:pPr>
            <w:r>
              <w:rPr>
                <w:rFonts w:cs="Times New Roman" w:ascii="Arial" w:hAnsi="Arial"/>
                <w:color w:val="000000"/>
                <w:sz w:val="18"/>
                <w:szCs w:val="18"/>
              </w:rPr>
              <w:t>Rua General Deschamps Cavalcanti, 210 – Bairro Fábrica, Juiz de Fora – MG – CEP: 36.080-220, de segunda a quinta-feira de 09:30h às 11:30h e de 13:00h às 16:00h, e nas sextas-feiras de 09:00h às 12:00h (exceto feriados nacionais e municipais). E-mail: aprov17blog@gmail.com</w:t>
            </w:r>
          </w:p>
        </w:tc>
      </w:tr>
      <w:tr>
        <w:trPr/>
        <w:tc>
          <w:tcPr>
            <w:tcW w:w="3211" w:type="dxa"/>
            <w:tcBorders>
              <w:top w:val="single" w:sz="2" w:space="0" w:color="000001"/>
              <w:left w:val="single" w:sz="2" w:space="0" w:color="000001"/>
              <w:bottom w:val="single" w:sz="2" w:space="0" w:color="000001"/>
            </w:tcBorders>
            <w:shd w:color="auto" w:fill="auto" w:val="clear"/>
            <w:vAlign w:val="center"/>
          </w:tcPr>
          <w:p>
            <w:pPr>
              <w:pStyle w:val="Contedodatabela"/>
              <w:widowControl w:val="false"/>
              <w:jc w:val="center"/>
              <w:rPr>
                <w:rFonts w:ascii="Arial" w:hAnsi="Arial" w:cs="Times New Roman"/>
                <w:sz w:val="18"/>
                <w:szCs w:val="18"/>
              </w:rPr>
            </w:pPr>
            <w:r>
              <w:rPr>
                <w:rFonts w:cs="Times New Roman" w:ascii="Arial" w:hAnsi="Arial"/>
                <w:color w:val="000000"/>
                <w:sz w:val="18"/>
                <w:szCs w:val="18"/>
              </w:rPr>
              <w:t>4º DEPÓSITO DE SUPRIMENTO</w:t>
            </w:r>
          </w:p>
        </w:tc>
        <w:tc>
          <w:tcPr>
            <w:tcW w:w="6201" w:type="dxa"/>
            <w:tcBorders>
              <w:top w:val="single" w:sz="2" w:space="0" w:color="000001"/>
              <w:left w:val="single" w:sz="2" w:space="0" w:color="000001"/>
              <w:bottom w:val="single" w:sz="2" w:space="0" w:color="000001"/>
              <w:right w:val="single" w:sz="2" w:space="0" w:color="000001"/>
            </w:tcBorders>
            <w:shd w:color="auto" w:fill="auto" w:val="clear"/>
          </w:tcPr>
          <w:p>
            <w:pPr>
              <w:pStyle w:val="Contedodatabela"/>
              <w:widowControl w:val="false"/>
              <w:jc w:val="both"/>
              <w:rPr/>
            </w:pPr>
            <w:r>
              <w:rPr>
                <w:rFonts w:cs="Times New Roman" w:ascii="Arial" w:hAnsi="Arial"/>
                <w:color w:val="000000"/>
                <w:sz w:val="18"/>
                <w:szCs w:val="18"/>
              </w:rPr>
              <w:t xml:space="preserve">Praça Presidente Antônio Carlos, 140 – Centro – Juiz de Fora – MG – CEP: 36.010-140, de segunda a quinta-feira de 09:30h às 11:30h e de 13:00h às 16:00h, e nas sextas-feiras de 09:00h às 12:00h (exceto feriados nacionais e municipais). E-mail: </w:t>
            </w:r>
            <w:hyperlink r:id="rId3">
              <w:r>
                <w:rPr>
                  <w:rStyle w:val="Hyperlink"/>
                  <w:rFonts w:cs="Times New Roman" w:ascii="Arial" w:hAnsi="Arial"/>
                  <w:sz w:val="18"/>
                  <w:szCs w:val="18"/>
                </w:rPr>
                <w:t>aprovisionamento4dsup@hotmail.com</w:t>
              </w:r>
            </w:hyperlink>
            <w:r>
              <w:rPr>
                <w:rFonts w:cs="Times New Roman" w:ascii="Arial" w:hAnsi="Arial"/>
                <w:color w:val="000000"/>
                <w:sz w:val="18"/>
                <w:szCs w:val="18"/>
              </w:rPr>
              <w:t xml:space="preserve"> ou dsup4.salc@gmail.com</w:t>
            </w:r>
          </w:p>
        </w:tc>
      </w:tr>
      <w:tr>
        <w:trPr/>
        <w:tc>
          <w:tcPr>
            <w:tcW w:w="3211" w:type="dxa"/>
            <w:tcBorders>
              <w:top w:val="single" w:sz="2" w:space="0" w:color="000001"/>
              <w:left w:val="single" w:sz="2" w:space="0" w:color="000001"/>
              <w:bottom w:val="single" w:sz="2" w:space="0" w:color="000001"/>
            </w:tcBorders>
            <w:shd w:color="auto" w:fill="auto" w:val="clear"/>
            <w:vAlign w:val="center"/>
          </w:tcPr>
          <w:p>
            <w:pPr>
              <w:pStyle w:val="Normal"/>
              <w:widowControl w:val="false"/>
              <w:tabs>
                <w:tab w:val="clear" w:pos="708"/>
                <w:tab w:val="left" w:pos="960" w:leader="none"/>
                <w:tab w:val="left" w:pos="1590" w:leader="none"/>
              </w:tabs>
              <w:snapToGrid w:val="false"/>
              <w:spacing w:lineRule="auto" w:line="276"/>
              <w:jc w:val="center"/>
              <w:rPr>
                <w:rFonts w:ascii="Arial" w:hAnsi="Arial" w:cs="Times New Roman"/>
                <w:sz w:val="18"/>
                <w:szCs w:val="18"/>
              </w:rPr>
            </w:pPr>
            <w:r>
              <w:rPr>
                <w:rFonts w:cs="Times New Roman" w:ascii="Arial" w:hAnsi="Arial"/>
                <w:color w:val="000000"/>
                <w:sz w:val="18"/>
                <w:szCs w:val="18"/>
                <w:highlight w:val="white"/>
                <w:lang w:eastAsia="en-US"/>
              </w:rPr>
              <w:t>COLÉGIO MILITAR DE JUIZ DE FORA</w:t>
            </w:r>
          </w:p>
        </w:tc>
        <w:tc>
          <w:tcPr>
            <w:tcW w:w="6201" w:type="dxa"/>
            <w:tcBorders>
              <w:top w:val="single" w:sz="2" w:space="0" w:color="000001"/>
              <w:left w:val="single" w:sz="2" w:space="0" w:color="000001"/>
              <w:bottom w:val="single" w:sz="2" w:space="0" w:color="000001"/>
              <w:right w:val="single" w:sz="2" w:space="0" w:color="000001"/>
            </w:tcBorders>
            <w:shd w:color="auto" w:fill="auto" w:val="clear"/>
          </w:tcPr>
          <w:p>
            <w:pPr>
              <w:pStyle w:val="Normal"/>
              <w:widowControl w:val="false"/>
              <w:tabs>
                <w:tab w:val="clear" w:pos="708"/>
                <w:tab w:val="left" w:pos="960" w:leader="none"/>
                <w:tab w:val="left" w:pos="1590" w:leader="none"/>
              </w:tabs>
              <w:snapToGrid w:val="false"/>
              <w:spacing w:lineRule="auto" w:line="276"/>
              <w:jc w:val="both"/>
              <w:rPr/>
            </w:pPr>
            <w:r>
              <w:rPr>
                <w:rFonts w:cs="Times New Roman" w:ascii="Arial" w:hAnsi="Arial"/>
                <w:color w:val="000000"/>
                <w:sz w:val="18"/>
                <w:szCs w:val="18"/>
                <w:highlight w:val="white"/>
                <w:lang w:eastAsia="en-US"/>
              </w:rPr>
              <w:t xml:space="preserve">Avenida Juscelino Kubitschek, 5200 - Bairro Nova Era - Juiz de Fora – MG - CEP: 36.087-000 </w:t>
            </w:r>
            <w:r>
              <w:rPr>
                <w:rStyle w:val="Fontepargpadro1"/>
                <w:rFonts w:cs="Times New Roman" w:ascii="Arial" w:hAnsi="Arial"/>
                <w:iCs/>
                <w:color w:val="000000"/>
                <w:sz w:val="18"/>
                <w:szCs w:val="18"/>
                <w:highlight w:val="white"/>
                <w:lang w:eastAsia="en-US"/>
              </w:rPr>
              <w:t>(</w:t>
            </w:r>
            <w:r>
              <w:rPr>
                <w:rStyle w:val="Fontepargpadro1"/>
                <w:rFonts w:cs="Times New Roman" w:ascii="Arial" w:hAnsi="Arial"/>
                <w:color w:val="000000"/>
                <w:sz w:val="18"/>
                <w:szCs w:val="18"/>
                <w:highlight w:val="white"/>
                <w:lang w:eastAsia="en-US"/>
              </w:rPr>
              <w:t>de segunda a quinta-feira de 09:30h às 11:30h e de 13:00h às 16:00h, e nas sextas-feiras de 09:00h às 11:30h, exceto feriados nacionais e municipais).</w:t>
            </w:r>
            <w:r>
              <w:rPr>
                <w:rStyle w:val="Fontepargpadro1"/>
                <w:rFonts w:cs="Times New Roman" w:ascii="Arial" w:hAnsi="Arial"/>
                <w:color w:val="000000"/>
                <w:sz w:val="18"/>
                <w:szCs w:val="18"/>
                <w:lang w:eastAsia="en-US"/>
              </w:rPr>
              <w:t xml:space="preserve"> E-mail: cmjfsalc@gmail.com</w:t>
            </w:r>
          </w:p>
        </w:tc>
      </w:tr>
      <w:tr>
        <w:trPr/>
        <w:tc>
          <w:tcPr>
            <w:tcW w:w="3211" w:type="dxa"/>
            <w:tcBorders>
              <w:top w:val="single" w:sz="2" w:space="0" w:color="000001"/>
              <w:left w:val="single" w:sz="2" w:space="0" w:color="000001"/>
              <w:bottom w:val="single" w:sz="2" w:space="0" w:color="000001"/>
            </w:tcBorders>
            <w:shd w:color="auto" w:fill="auto" w:val="clear"/>
            <w:vAlign w:val="center"/>
          </w:tcPr>
          <w:p>
            <w:pPr>
              <w:pStyle w:val="Normal"/>
              <w:widowControl w:val="false"/>
              <w:tabs>
                <w:tab w:val="clear" w:pos="708"/>
                <w:tab w:val="left" w:pos="960" w:leader="none"/>
                <w:tab w:val="left" w:pos="1590" w:leader="none"/>
              </w:tabs>
              <w:snapToGrid w:val="false"/>
              <w:spacing w:lineRule="auto" w:line="276"/>
              <w:jc w:val="center"/>
              <w:rPr>
                <w:rFonts w:ascii="Arial" w:hAnsi="Arial" w:cs="Times New Roman"/>
                <w:sz w:val="18"/>
                <w:szCs w:val="18"/>
              </w:rPr>
            </w:pPr>
            <w:r>
              <w:rPr>
                <w:rFonts w:cs="Times New Roman" w:ascii="Arial" w:hAnsi="Arial"/>
                <w:color w:val="000000"/>
                <w:sz w:val="18"/>
                <w:szCs w:val="18"/>
                <w:highlight w:val="white"/>
                <w:lang w:eastAsia="en-US"/>
              </w:rPr>
              <w:t>HOSPITAL GERAL DE JUIZ</w:t>
            </w:r>
          </w:p>
          <w:p>
            <w:pPr>
              <w:pStyle w:val="Normal"/>
              <w:widowControl w:val="false"/>
              <w:tabs>
                <w:tab w:val="clear" w:pos="708"/>
                <w:tab w:val="left" w:pos="960" w:leader="none"/>
                <w:tab w:val="left" w:pos="1590" w:leader="none"/>
              </w:tabs>
              <w:snapToGrid w:val="false"/>
              <w:spacing w:lineRule="auto" w:line="276"/>
              <w:jc w:val="center"/>
              <w:rPr>
                <w:rFonts w:ascii="Arial" w:hAnsi="Arial" w:cs="Times New Roman"/>
                <w:sz w:val="18"/>
                <w:szCs w:val="18"/>
              </w:rPr>
            </w:pPr>
            <w:r>
              <w:rPr>
                <w:rFonts w:cs="Times New Roman" w:ascii="Arial" w:hAnsi="Arial"/>
                <w:color w:val="000000"/>
                <w:sz w:val="18"/>
                <w:szCs w:val="18"/>
                <w:highlight w:val="white"/>
                <w:lang w:eastAsia="en-US"/>
              </w:rPr>
              <w:t>DE FORA</w:t>
            </w:r>
          </w:p>
        </w:tc>
        <w:tc>
          <w:tcPr>
            <w:tcW w:w="6201" w:type="dxa"/>
            <w:tcBorders>
              <w:top w:val="single" w:sz="2" w:space="0" w:color="000001"/>
              <w:left w:val="single" w:sz="2" w:space="0" w:color="000001"/>
              <w:bottom w:val="single" w:sz="2" w:space="0" w:color="000001"/>
              <w:right w:val="single" w:sz="2" w:space="0" w:color="000001"/>
            </w:tcBorders>
            <w:shd w:color="auto" w:fill="auto" w:val="clear"/>
          </w:tcPr>
          <w:p>
            <w:pPr>
              <w:pStyle w:val="Normal"/>
              <w:widowControl w:val="false"/>
              <w:tabs>
                <w:tab w:val="left" w:pos="708" w:leader="none"/>
              </w:tabs>
              <w:snapToGrid w:val="false"/>
              <w:spacing w:lineRule="atLeast" w:line="100"/>
              <w:jc w:val="both"/>
              <w:rPr>
                <w:rStyle w:val="Fontepargpadro1"/>
              </w:rPr>
            </w:pPr>
            <w:r>
              <w:rPr>
                <w:rFonts w:cs="Times New Roman" w:ascii="Arial" w:hAnsi="Arial"/>
                <w:color w:val="000000"/>
                <w:sz w:val="18"/>
                <w:szCs w:val="18"/>
              </w:rPr>
              <w:t xml:space="preserve">Rua General Deschamps Cavalcanti, S/N – Bairro Fábrica, Juiz de Fora – MG - CEP: 36.080-220 </w:t>
            </w:r>
            <w:r>
              <w:rPr>
                <w:rStyle w:val="Fontepargpadro1"/>
                <w:rFonts w:cs="Times New Roman" w:ascii="Arial" w:hAnsi="Arial"/>
                <w:iCs/>
                <w:sz w:val="18"/>
                <w:szCs w:val="18"/>
                <w:highlight w:val="white"/>
                <w:lang w:eastAsia="en-US"/>
              </w:rPr>
              <w:t>(</w:t>
            </w:r>
            <w:r>
              <w:rPr>
                <w:rStyle w:val="Fontepargpadro1"/>
                <w:rFonts w:cs="Times New Roman" w:ascii="Arial" w:hAnsi="Arial"/>
                <w:sz w:val="18"/>
                <w:szCs w:val="18"/>
                <w:highlight w:val="white"/>
                <w:lang w:eastAsia="en-US"/>
              </w:rPr>
              <w:t>de segunda a quinta-feira de 09:30h às 11:30h e de 13:00h às 16:00h, e nas sextas-feiras de 09:00h às 11:30h (exceto feriados nacionais e municipais).</w:t>
            </w:r>
            <w:r>
              <w:rPr>
                <w:rStyle w:val="Fontepargpadro1"/>
                <w:rFonts w:cs="Times New Roman" w:ascii="Arial" w:hAnsi="Arial"/>
                <w:sz w:val="18"/>
                <w:szCs w:val="18"/>
                <w:lang w:eastAsia="en-US"/>
              </w:rPr>
              <w:t xml:space="preserve"> E-mail: </w:t>
            </w:r>
            <w:r>
              <w:rPr>
                <w:rStyle w:val="Hyperlink"/>
                <w:rFonts w:cs="Times New Roman" w:ascii="Arial" w:hAnsi="Arial"/>
                <w:sz w:val="18"/>
                <w:szCs w:val="18"/>
                <w:lang w:eastAsia="en-US"/>
              </w:rPr>
              <w:t>ranchohgjf@gmail.com</w:t>
            </w:r>
          </w:p>
        </w:tc>
      </w:tr>
      <w:tr>
        <w:trPr/>
        <w:tc>
          <w:tcPr>
            <w:tcW w:w="3211" w:type="dxa"/>
            <w:tcBorders>
              <w:left w:val="single" w:sz="2" w:space="0" w:color="000001"/>
              <w:bottom w:val="single" w:sz="2" w:space="0" w:color="000001"/>
            </w:tcBorders>
            <w:shd w:color="auto" w:fill="auto" w:val="clear"/>
            <w:vAlign w:val="center"/>
          </w:tcPr>
          <w:p>
            <w:pPr>
              <w:pStyle w:val="Normal"/>
              <w:widowControl w:val="false"/>
              <w:jc w:val="center"/>
              <w:rPr>
                <w:rFonts w:ascii="Arial" w:hAnsi="Arial" w:cs="Arial"/>
                <w:color w:val="000000"/>
                <w:sz w:val="18"/>
                <w:szCs w:val="18"/>
              </w:rPr>
            </w:pPr>
            <w:r>
              <w:rPr>
                <w:rFonts w:cs="Arial" w:ascii="Arial" w:hAnsi="Arial"/>
                <w:color w:val="000000"/>
                <w:sz w:val="18"/>
                <w:szCs w:val="18"/>
              </w:rPr>
              <w:t>11º BATALHÃO DE INFANTARIA DE MONTANHA</w:t>
            </w:r>
          </w:p>
        </w:tc>
        <w:tc>
          <w:tcPr>
            <w:tcW w:w="6201" w:type="dxa"/>
            <w:tcBorders>
              <w:left w:val="single" w:sz="2" w:space="0" w:color="000001"/>
              <w:bottom w:val="single" w:sz="2" w:space="0" w:color="000001"/>
              <w:right w:val="single" w:sz="2" w:space="0" w:color="000001"/>
            </w:tcBorders>
            <w:shd w:color="auto" w:fill="auto" w:val="clear"/>
          </w:tcPr>
          <w:p>
            <w:pPr>
              <w:pStyle w:val="Normal"/>
              <w:rPr/>
            </w:pPr>
            <w:r>
              <w:rPr/>
              <w:t>Ladeira Tenente Villas Boas, S/N – Centro – São João Del Rei – MG – CEP: 36.307-900, de segunda a quinta-feira de 09:30h às 11:30h e de 13:00h às 16:00h, e nas sextas-feiras de 09:00h às 12:00h (exceto feriados nacionais e municipais)</w:t>
            </w:r>
          </w:p>
        </w:tc>
      </w:tr>
    </w:tbl>
    <w:p>
      <w:pPr>
        <w:pStyle w:val="Normal"/>
        <w:widowControl/>
        <w:bidi w:val="0"/>
        <w:spacing w:lineRule="auto" w:line="276" w:before="120" w:after="120"/>
        <w:ind w:hanging="0" w:left="567" w:right="0"/>
        <w:jc w:val="both"/>
        <w:rPr>
          <w:rFonts w:ascii="Arial" w:hAnsi="Arial"/>
        </w:rPr>
      </w:pPr>
      <w:r>
        <w:rPr>
          <w:rFonts w:ascii="Arial" w:hAnsi="Arial"/>
        </w:rPr>
      </w:r>
    </w:p>
    <w:tbl>
      <w:tblPr>
        <w:tblW w:w="9420" w:type="dxa"/>
        <w:jc w:val="left"/>
        <w:tblInd w:w="-24" w:type="dxa"/>
        <w:tblLayout w:type="fixed"/>
        <w:tblCellMar>
          <w:top w:w="55" w:type="dxa"/>
          <w:left w:w="55" w:type="dxa"/>
          <w:bottom w:w="55" w:type="dxa"/>
          <w:right w:w="55" w:type="dxa"/>
        </w:tblCellMar>
        <w:tblLook w:firstRow="1" w:noVBand="1" w:lastRow="0" w:firstColumn="1" w:lastColumn="0" w:noHBand="0" w:val="04a0"/>
      </w:tblPr>
      <w:tblGrid>
        <w:gridCol w:w="893"/>
        <w:gridCol w:w="874"/>
        <w:gridCol w:w="815"/>
        <w:gridCol w:w="646"/>
        <w:gridCol w:w="647"/>
        <w:gridCol w:w="827"/>
        <w:gridCol w:w="712"/>
        <w:gridCol w:w="747"/>
        <w:gridCol w:w="726"/>
        <w:gridCol w:w="616"/>
        <w:gridCol w:w="780"/>
        <w:gridCol w:w="618"/>
        <w:gridCol w:w="518"/>
      </w:tblGrid>
      <w:tr>
        <w:trPr>
          <w:tblHeader w:val="true"/>
        </w:trPr>
        <w:tc>
          <w:tcPr>
            <w:tcW w:w="893" w:type="dxa"/>
            <w:vMerge w:val="restart"/>
            <w:tcBorders>
              <w:top w:val="single" w:sz="8" w:space="0" w:color="000000"/>
              <w:left w:val="single" w:sz="8" w:space="0" w:color="000000"/>
              <w:bottom w:val="single" w:sz="8" w:space="0" w:color="000000"/>
              <w:right w:val="single" w:sz="8" w:space="0" w:color="000000"/>
            </w:tcBorders>
            <w:shd w:fill="B2B2B2" w:val="clear"/>
            <w:vAlign w:val="center"/>
          </w:tcPr>
          <w:p>
            <w:pPr>
              <w:pStyle w:val="Contedodatabela"/>
              <w:widowControl w:val="false"/>
              <w:jc w:val="center"/>
              <w:rPr>
                <w:rFonts w:ascii="Arial" w:hAnsi="Arial" w:cs="Times New Roman"/>
                <w:b/>
                <w:bCs/>
                <w:sz w:val="14"/>
                <w:szCs w:val="14"/>
              </w:rPr>
            </w:pPr>
            <w:r>
              <w:rPr>
                <w:rFonts w:cs="Times New Roman" w:ascii="Arial" w:hAnsi="Arial"/>
                <w:b/>
                <w:bCs/>
                <w:sz w:val="14"/>
                <w:szCs w:val="14"/>
              </w:rPr>
              <w:t>ITEM</w:t>
            </w:r>
          </w:p>
        </w:tc>
        <w:tc>
          <w:tcPr>
            <w:tcW w:w="874" w:type="dxa"/>
            <w:vMerge w:val="restart"/>
            <w:tcBorders>
              <w:top w:val="single" w:sz="8" w:space="0" w:color="000000"/>
              <w:left w:val="single" w:sz="8" w:space="0" w:color="000000"/>
              <w:bottom w:val="single" w:sz="8" w:space="0" w:color="000000"/>
              <w:right w:val="single" w:sz="8" w:space="0" w:color="000000"/>
            </w:tcBorders>
            <w:shd w:fill="B2B2B2" w:val="clear"/>
            <w:vAlign w:val="center"/>
          </w:tcPr>
          <w:p>
            <w:pPr>
              <w:pStyle w:val="Contedodatabela"/>
              <w:widowControl w:val="false"/>
              <w:jc w:val="center"/>
              <w:rPr>
                <w:rFonts w:ascii="Arial" w:hAnsi="Arial" w:cs="Times New Roman"/>
                <w:b/>
                <w:bCs/>
                <w:sz w:val="14"/>
                <w:szCs w:val="14"/>
              </w:rPr>
            </w:pPr>
            <w:r>
              <w:rPr>
                <w:rFonts w:cs="Times New Roman" w:ascii="Arial" w:hAnsi="Arial"/>
                <w:b/>
                <w:bCs/>
                <w:sz w:val="14"/>
                <w:szCs w:val="14"/>
              </w:rPr>
              <w:t>UNIDADE</w:t>
            </w:r>
          </w:p>
          <w:p>
            <w:pPr>
              <w:pStyle w:val="Contedodatabela"/>
              <w:widowControl w:val="false"/>
              <w:jc w:val="center"/>
              <w:rPr>
                <w:rFonts w:ascii="Arial" w:hAnsi="Arial" w:cs="Times New Roman"/>
                <w:b/>
                <w:bCs/>
                <w:sz w:val="14"/>
                <w:szCs w:val="14"/>
              </w:rPr>
            </w:pPr>
            <w:r>
              <w:rPr>
                <w:rFonts w:cs="Times New Roman" w:ascii="Arial" w:hAnsi="Arial"/>
                <w:b/>
                <w:bCs/>
                <w:sz w:val="14"/>
                <w:szCs w:val="14"/>
              </w:rPr>
              <w:t>DE</w:t>
            </w:r>
          </w:p>
          <w:p>
            <w:pPr>
              <w:pStyle w:val="Contedodatabela"/>
              <w:widowControl w:val="false"/>
              <w:jc w:val="center"/>
              <w:rPr>
                <w:rFonts w:ascii="Arial" w:hAnsi="Arial" w:cs="Times New Roman"/>
                <w:b/>
                <w:bCs/>
                <w:sz w:val="14"/>
                <w:szCs w:val="14"/>
              </w:rPr>
            </w:pPr>
            <w:r>
              <w:rPr>
                <w:rFonts w:cs="Times New Roman" w:ascii="Arial" w:hAnsi="Arial"/>
                <w:b/>
                <w:bCs/>
                <w:sz w:val="14"/>
                <w:szCs w:val="14"/>
              </w:rPr>
              <w:t>MEDIDA</w:t>
            </w:r>
          </w:p>
        </w:tc>
        <w:tc>
          <w:tcPr>
            <w:tcW w:w="4394" w:type="dxa"/>
            <w:gridSpan w:val="6"/>
            <w:tcBorders>
              <w:top w:val="single" w:sz="8" w:space="0" w:color="000000"/>
              <w:left w:val="single" w:sz="8" w:space="0" w:color="000000"/>
              <w:bottom w:val="single" w:sz="8" w:space="0" w:color="000000"/>
              <w:right w:val="single" w:sz="8" w:space="0" w:color="000000"/>
            </w:tcBorders>
            <w:shd w:fill="B2B2B2" w:val="clear"/>
            <w:vAlign w:val="center"/>
          </w:tcPr>
          <w:p>
            <w:pPr>
              <w:pStyle w:val="Normal"/>
              <w:widowControl w:val="false"/>
              <w:jc w:val="center"/>
              <w:rPr>
                <w:rFonts w:ascii="Arial" w:hAnsi="Arial" w:cs="Times New Roman"/>
                <w:b/>
                <w:bCs/>
                <w:color w:val="000000"/>
                <w:sz w:val="14"/>
                <w:szCs w:val="14"/>
              </w:rPr>
            </w:pPr>
            <w:r>
              <w:rPr>
                <w:rFonts w:cs="Times New Roman" w:ascii="Arial" w:hAnsi="Arial"/>
                <w:b/>
                <w:bCs/>
                <w:color w:val="000000"/>
                <w:sz w:val="14"/>
                <w:szCs w:val="14"/>
              </w:rPr>
              <w:t>OM VINCULADAS</w:t>
            </w:r>
          </w:p>
        </w:tc>
        <w:tc>
          <w:tcPr>
            <w:tcW w:w="3258" w:type="dxa"/>
            <w:gridSpan w:val="5"/>
            <w:tcBorders>
              <w:top w:val="single" w:sz="8" w:space="0" w:color="000000"/>
              <w:left w:val="single" w:sz="8" w:space="0" w:color="000000"/>
              <w:bottom w:val="single" w:sz="8" w:space="0" w:color="000000"/>
              <w:right w:val="single" w:sz="8" w:space="0" w:color="000000"/>
            </w:tcBorders>
            <w:shd w:fill="B2B2B2" w:val="clear"/>
            <w:vAlign w:val="center"/>
          </w:tcPr>
          <w:p>
            <w:pPr>
              <w:pStyle w:val="Normal"/>
              <w:widowControl w:val="false"/>
              <w:jc w:val="center"/>
              <w:rPr>
                <w:rFonts w:ascii="Arial" w:hAnsi="Arial" w:cs="Times New Roman"/>
                <w:b/>
                <w:bCs/>
                <w:color w:val="000000"/>
                <w:sz w:val="14"/>
                <w:szCs w:val="14"/>
              </w:rPr>
            </w:pPr>
            <w:r>
              <w:rPr>
                <w:rFonts w:cs="Times New Roman" w:ascii="Arial" w:hAnsi="Arial"/>
                <w:b/>
                <w:bCs/>
                <w:color w:val="000000"/>
                <w:sz w:val="14"/>
                <w:szCs w:val="14"/>
              </w:rPr>
              <w:t>OM PARTICIPANTES</w:t>
            </w:r>
          </w:p>
        </w:tc>
      </w:tr>
      <w:tr>
        <w:trPr>
          <w:tblHeader w:val="true"/>
        </w:trPr>
        <w:tc>
          <w:tcPr>
            <w:tcW w:w="893" w:type="dxa"/>
            <w:vMerge w:val="continue"/>
            <w:tcBorders>
              <w:top w:val="single" w:sz="8" w:space="0" w:color="000000"/>
              <w:left w:val="single" w:sz="8" w:space="0" w:color="000000"/>
              <w:bottom w:val="single" w:sz="8" w:space="0" w:color="000000"/>
              <w:right w:val="single" w:sz="8" w:space="0" w:color="000000"/>
            </w:tcBorders>
            <w:shd w:fill="B2B2B2" w:val="clear"/>
            <w:vAlign w:val="center"/>
          </w:tcPr>
          <w:p>
            <w:pPr>
              <w:pStyle w:val="Normal"/>
              <w:widowControl w:val="false"/>
              <w:jc w:val="center"/>
              <w:rPr>
                <w:rFonts w:ascii="Arial" w:hAnsi="Arial" w:cs="Times New Roman"/>
              </w:rPr>
            </w:pPr>
            <w:r>
              <w:rPr>
                <w:rFonts w:cs="Times New Roman" w:ascii="Arial" w:hAnsi="Arial"/>
              </w:rPr>
            </w:r>
          </w:p>
        </w:tc>
        <w:tc>
          <w:tcPr>
            <w:tcW w:w="874" w:type="dxa"/>
            <w:vMerge w:val="continue"/>
            <w:tcBorders>
              <w:top w:val="single" w:sz="8" w:space="0" w:color="000000"/>
              <w:left w:val="single" w:sz="8" w:space="0" w:color="000000"/>
              <w:bottom w:val="single" w:sz="8" w:space="0" w:color="000000"/>
              <w:right w:val="single" w:sz="8" w:space="0" w:color="000000"/>
            </w:tcBorders>
            <w:shd w:fill="B2B2B2" w:val="clear"/>
            <w:vAlign w:val="center"/>
          </w:tcPr>
          <w:p>
            <w:pPr>
              <w:pStyle w:val="Normal"/>
              <w:widowControl w:val="false"/>
              <w:rPr>
                <w:rFonts w:ascii="Arial" w:hAnsi="Arial" w:cs="Times New Roman"/>
              </w:rPr>
            </w:pPr>
            <w:r>
              <w:rPr>
                <w:rFonts w:cs="Times New Roman" w:ascii="Arial" w:hAnsi="Arial"/>
              </w:rPr>
            </w:r>
          </w:p>
        </w:tc>
        <w:tc>
          <w:tcPr>
            <w:tcW w:w="815" w:type="dxa"/>
            <w:tcBorders>
              <w:top w:val="single" w:sz="8" w:space="0" w:color="000000"/>
              <w:left w:val="single" w:sz="8" w:space="0" w:color="000000"/>
              <w:bottom w:val="single" w:sz="8" w:space="0" w:color="000000"/>
              <w:right w:val="single" w:sz="8" w:space="0" w:color="000000"/>
            </w:tcBorders>
            <w:shd w:fill="B2B2B2" w:val="clear"/>
            <w:vAlign w:val="center"/>
          </w:tcPr>
          <w:p>
            <w:pPr>
              <w:pStyle w:val="Contedodatabela"/>
              <w:widowControl w:val="false"/>
              <w:jc w:val="center"/>
              <w:rPr>
                <w:rFonts w:ascii="Arial" w:hAnsi="Arial" w:cs="Times New Roman"/>
                <w:b/>
                <w:color w:val="000000"/>
                <w:sz w:val="14"/>
              </w:rPr>
            </w:pPr>
            <w:r>
              <w:rPr>
                <w:rFonts w:cs="Times New Roman" w:ascii="Arial" w:hAnsi="Arial"/>
                <w:b/>
                <w:color w:val="000000"/>
                <w:sz w:val="14"/>
              </w:rPr>
              <w:t>4ª BDA INF</w:t>
            </w:r>
          </w:p>
          <w:p>
            <w:pPr>
              <w:pStyle w:val="Contedodatabela"/>
              <w:widowControl w:val="false"/>
              <w:jc w:val="center"/>
              <w:rPr>
                <w:rFonts w:ascii="Arial" w:hAnsi="Arial" w:cs="Times New Roman"/>
                <w:b/>
                <w:color w:val="000000"/>
                <w:sz w:val="14"/>
              </w:rPr>
            </w:pPr>
            <w:r>
              <w:rPr>
                <w:rFonts w:cs="Times New Roman" w:ascii="Arial" w:hAnsi="Arial"/>
                <w:b/>
                <w:color w:val="000000"/>
                <w:sz w:val="14"/>
              </w:rPr>
              <w:t xml:space="preserve"> </w:t>
            </w:r>
            <w:r>
              <w:rPr>
                <w:rFonts w:cs="Times New Roman" w:ascii="Arial" w:hAnsi="Arial"/>
                <w:b/>
                <w:color w:val="000000"/>
                <w:sz w:val="14"/>
              </w:rPr>
              <w:t>L MTH</w:t>
            </w:r>
          </w:p>
        </w:tc>
        <w:tc>
          <w:tcPr>
            <w:tcW w:w="646" w:type="dxa"/>
            <w:tcBorders>
              <w:top w:val="single" w:sz="8" w:space="0" w:color="000000"/>
              <w:left w:val="single" w:sz="8" w:space="0" w:color="000000"/>
              <w:bottom w:val="single" w:sz="8" w:space="0" w:color="000000"/>
              <w:right w:val="single" w:sz="8" w:space="0" w:color="000000"/>
            </w:tcBorders>
            <w:shd w:fill="B2B2B2" w:val="clear"/>
            <w:vAlign w:val="center"/>
          </w:tcPr>
          <w:p>
            <w:pPr>
              <w:pStyle w:val="Contedodatabela"/>
              <w:widowControl w:val="false"/>
              <w:jc w:val="center"/>
              <w:rPr>
                <w:rFonts w:ascii="Arial" w:hAnsi="Arial" w:cs="Times New Roman"/>
                <w:b/>
                <w:sz w:val="14"/>
              </w:rPr>
            </w:pPr>
            <w:r>
              <w:rPr>
                <w:rFonts w:cs="Times New Roman" w:ascii="Arial" w:hAnsi="Arial"/>
                <w:b/>
                <w:sz w:val="14"/>
              </w:rPr>
              <w:t>10º BIL MTH</w:t>
            </w:r>
          </w:p>
        </w:tc>
        <w:tc>
          <w:tcPr>
            <w:tcW w:w="647" w:type="dxa"/>
            <w:tcBorders>
              <w:top w:val="single" w:sz="8" w:space="0" w:color="000000"/>
              <w:left w:val="single" w:sz="8" w:space="0" w:color="000000"/>
              <w:bottom w:val="single" w:sz="8" w:space="0" w:color="000000"/>
              <w:right w:val="single" w:sz="8" w:space="0" w:color="000000"/>
            </w:tcBorders>
            <w:shd w:fill="B2B2B2" w:val="clear"/>
            <w:vAlign w:val="center"/>
          </w:tcPr>
          <w:p>
            <w:pPr>
              <w:pStyle w:val="Contedodatabela"/>
              <w:widowControl w:val="false"/>
              <w:jc w:val="center"/>
              <w:rPr>
                <w:rFonts w:ascii="Arial" w:hAnsi="Arial" w:cs="Times New Roman"/>
                <w:b/>
                <w:sz w:val="14"/>
              </w:rPr>
            </w:pPr>
            <w:r>
              <w:rPr>
                <w:rFonts w:cs="Times New Roman" w:ascii="Arial" w:hAnsi="Arial"/>
                <w:b/>
                <w:sz w:val="14"/>
              </w:rPr>
              <w:t>4º GAC L MTH</w:t>
            </w:r>
          </w:p>
        </w:tc>
        <w:tc>
          <w:tcPr>
            <w:tcW w:w="827" w:type="dxa"/>
            <w:tcBorders>
              <w:top w:val="single" w:sz="8" w:space="0" w:color="000000"/>
              <w:left w:val="single" w:sz="8" w:space="0" w:color="000000"/>
              <w:bottom w:val="single" w:sz="8" w:space="0" w:color="000000"/>
              <w:right w:val="single" w:sz="8" w:space="0" w:color="000000"/>
            </w:tcBorders>
            <w:shd w:fill="B2B2B2" w:val="clear"/>
            <w:vAlign w:val="center"/>
          </w:tcPr>
          <w:p>
            <w:pPr>
              <w:pStyle w:val="Contedodatabela"/>
              <w:widowControl w:val="false"/>
              <w:jc w:val="center"/>
              <w:rPr>
                <w:rFonts w:ascii="Arial" w:hAnsi="Arial" w:cs="Times New Roman"/>
                <w:b/>
                <w:sz w:val="14"/>
              </w:rPr>
            </w:pPr>
            <w:r>
              <w:rPr>
                <w:rFonts w:cs="Times New Roman" w:ascii="Arial" w:hAnsi="Arial"/>
                <w:b/>
                <w:sz w:val="14"/>
              </w:rPr>
              <w:t>CIJF/CEAC</w:t>
            </w:r>
          </w:p>
        </w:tc>
        <w:tc>
          <w:tcPr>
            <w:tcW w:w="712" w:type="dxa"/>
            <w:tcBorders>
              <w:top w:val="single" w:sz="8" w:space="0" w:color="000000"/>
              <w:left w:val="single" w:sz="8" w:space="0" w:color="000000"/>
              <w:bottom w:val="single" w:sz="8" w:space="0" w:color="000000"/>
              <w:right w:val="single" w:sz="8" w:space="0" w:color="000000"/>
            </w:tcBorders>
            <w:shd w:fill="B2B2B2" w:val="clear"/>
            <w:vAlign w:val="center"/>
          </w:tcPr>
          <w:p>
            <w:pPr>
              <w:pStyle w:val="Contedodatabela"/>
              <w:widowControl w:val="false"/>
              <w:jc w:val="center"/>
              <w:rPr>
                <w:rFonts w:ascii="Arial" w:hAnsi="Arial" w:cs="Times New Roman"/>
                <w:b/>
                <w:sz w:val="14"/>
              </w:rPr>
            </w:pPr>
            <w:r>
              <w:rPr>
                <w:rFonts w:cs="Times New Roman" w:ascii="Arial" w:hAnsi="Arial"/>
                <w:b/>
                <w:sz w:val="14"/>
              </w:rPr>
              <w:t>4ª CGCFEX</w:t>
            </w:r>
          </w:p>
        </w:tc>
        <w:tc>
          <w:tcPr>
            <w:tcW w:w="747" w:type="dxa"/>
            <w:tcBorders>
              <w:top w:val="single" w:sz="8" w:space="0" w:color="000000"/>
              <w:left w:val="single" w:sz="8" w:space="0" w:color="000000"/>
              <w:bottom w:val="single" w:sz="8" w:space="0" w:color="000000"/>
              <w:right w:val="single" w:sz="8" w:space="0" w:color="000000"/>
            </w:tcBorders>
            <w:shd w:fill="B2B2B2" w:val="clear"/>
            <w:vAlign w:val="center"/>
          </w:tcPr>
          <w:p>
            <w:pPr>
              <w:pStyle w:val="Contedodatabela"/>
              <w:widowControl w:val="false"/>
              <w:jc w:val="center"/>
              <w:rPr>
                <w:rFonts w:ascii="Arial" w:hAnsi="Arial" w:cs="Times New Roman"/>
                <w:b/>
                <w:sz w:val="14"/>
              </w:rPr>
            </w:pPr>
            <w:r>
              <w:rPr>
                <w:rFonts w:cs="Times New Roman" w:ascii="Arial" w:hAnsi="Arial"/>
                <w:b/>
                <w:sz w:val="14"/>
              </w:rPr>
              <w:t>4º ESQD C MEC</w:t>
            </w:r>
          </w:p>
        </w:tc>
        <w:tc>
          <w:tcPr>
            <w:tcW w:w="726" w:type="dxa"/>
            <w:tcBorders>
              <w:top w:val="single" w:sz="8" w:space="0" w:color="000000"/>
              <w:left w:val="single" w:sz="8" w:space="0" w:color="000000"/>
              <w:bottom w:val="single" w:sz="8" w:space="0" w:color="000000"/>
              <w:right w:val="single" w:sz="8" w:space="0" w:color="000000"/>
            </w:tcBorders>
            <w:shd w:fill="B2B2B2" w:val="clear"/>
            <w:vAlign w:val="center"/>
          </w:tcPr>
          <w:p>
            <w:pPr>
              <w:pStyle w:val="Contedodatabela"/>
              <w:widowControl w:val="false"/>
              <w:jc w:val="center"/>
              <w:rPr>
                <w:rFonts w:ascii="Arial" w:hAnsi="Arial" w:cs="Times New Roman"/>
                <w:b/>
                <w:sz w:val="14"/>
              </w:rPr>
            </w:pPr>
            <w:r>
              <w:rPr>
                <w:rFonts w:cs="Times New Roman" w:ascii="Arial" w:hAnsi="Arial"/>
                <w:b/>
                <w:sz w:val="14"/>
              </w:rPr>
              <w:t>17º B Log L Mth</w:t>
            </w:r>
          </w:p>
        </w:tc>
        <w:tc>
          <w:tcPr>
            <w:tcW w:w="616" w:type="dxa"/>
            <w:tcBorders>
              <w:top w:val="single" w:sz="8" w:space="0" w:color="000000"/>
              <w:left w:val="single" w:sz="8" w:space="0" w:color="000000"/>
              <w:bottom w:val="single" w:sz="8" w:space="0" w:color="000000"/>
              <w:right w:val="single" w:sz="8" w:space="0" w:color="000000"/>
            </w:tcBorders>
            <w:shd w:fill="B2B2B2" w:val="clear"/>
            <w:vAlign w:val="center"/>
          </w:tcPr>
          <w:p>
            <w:pPr>
              <w:pStyle w:val="Contedodatabela"/>
              <w:widowControl w:val="false"/>
              <w:jc w:val="center"/>
              <w:rPr>
                <w:rFonts w:ascii="Arial" w:hAnsi="Arial" w:cs="Times New Roman"/>
                <w:b/>
                <w:sz w:val="14"/>
              </w:rPr>
            </w:pPr>
            <w:r>
              <w:rPr>
                <w:rFonts w:cs="Times New Roman" w:ascii="Arial" w:hAnsi="Arial"/>
                <w:b/>
                <w:sz w:val="14"/>
              </w:rPr>
              <w:t>4º D Sup</w:t>
            </w:r>
          </w:p>
        </w:tc>
        <w:tc>
          <w:tcPr>
            <w:tcW w:w="780" w:type="dxa"/>
            <w:tcBorders>
              <w:top w:val="single" w:sz="8" w:space="0" w:color="000000"/>
              <w:left w:val="single" w:sz="8" w:space="0" w:color="000000"/>
              <w:bottom w:val="single" w:sz="8" w:space="0" w:color="000000"/>
              <w:right w:val="single" w:sz="8" w:space="0" w:color="000000"/>
            </w:tcBorders>
            <w:shd w:fill="B2B2B2" w:val="clear"/>
            <w:vAlign w:val="center"/>
          </w:tcPr>
          <w:p>
            <w:pPr>
              <w:pStyle w:val="Contedodatabela"/>
              <w:widowControl w:val="false"/>
              <w:jc w:val="center"/>
              <w:rPr>
                <w:rFonts w:ascii="Arial" w:hAnsi="Arial" w:cs="Times New Roman"/>
                <w:b/>
                <w:sz w:val="14"/>
              </w:rPr>
            </w:pPr>
            <w:r>
              <w:rPr>
                <w:rFonts w:cs="Times New Roman" w:ascii="Arial" w:hAnsi="Arial"/>
                <w:b/>
                <w:sz w:val="14"/>
              </w:rPr>
              <w:t>HGeJF</w:t>
            </w:r>
          </w:p>
        </w:tc>
        <w:tc>
          <w:tcPr>
            <w:tcW w:w="618" w:type="dxa"/>
            <w:tcBorders>
              <w:top w:val="single" w:sz="8" w:space="0" w:color="000000"/>
              <w:left w:val="single" w:sz="8" w:space="0" w:color="000000"/>
              <w:bottom w:val="single" w:sz="8" w:space="0" w:color="000000"/>
            </w:tcBorders>
            <w:shd w:fill="B2B2B2" w:val="clear"/>
            <w:vAlign w:val="center"/>
          </w:tcPr>
          <w:p>
            <w:pPr>
              <w:pStyle w:val="Contedodatabela"/>
              <w:widowControl w:val="false"/>
              <w:jc w:val="center"/>
              <w:rPr>
                <w:rFonts w:ascii="Arial" w:hAnsi="Arial" w:cs="Times New Roman"/>
                <w:b/>
                <w:sz w:val="14"/>
              </w:rPr>
            </w:pPr>
            <w:r>
              <w:rPr>
                <w:rFonts w:cs="Times New Roman" w:ascii="Arial" w:hAnsi="Arial"/>
                <w:b/>
                <w:sz w:val="14"/>
              </w:rPr>
              <w:t>CMJF</w:t>
            </w:r>
          </w:p>
        </w:tc>
        <w:tc>
          <w:tcPr>
            <w:tcW w:w="518" w:type="dxa"/>
            <w:tcBorders>
              <w:top w:val="single" w:sz="8" w:space="0" w:color="000000"/>
              <w:left w:val="single" w:sz="8" w:space="0" w:color="000000"/>
              <w:bottom w:val="single" w:sz="8" w:space="0" w:color="000000"/>
              <w:right w:val="single" w:sz="8" w:space="0" w:color="000000"/>
            </w:tcBorders>
            <w:shd w:fill="B2B2B2" w:val="clear"/>
            <w:vAlign w:val="center"/>
          </w:tcPr>
          <w:p>
            <w:pPr>
              <w:pStyle w:val="Contedodatabela"/>
              <w:widowControl w:val="false"/>
              <w:jc w:val="center"/>
              <w:rPr>
                <w:rFonts w:ascii="Arial" w:hAnsi="Arial" w:cs="Times New Roman"/>
                <w:b/>
                <w:sz w:val="14"/>
              </w:rPr>
            </w:pPr>
            <w:r>
              <w:rPr>
                <w:rFonts w:cs="Times New Roman" w:ascii="Arial" w:hAnsi="Arial"/>
                <w:b/>
                <w:sz w:val="14"/>
              </w:rPr>
              <w:t>11º BI Mth</w:t>
            </w:r>
          </w:p>
        </w:tc>
      </w:tr>
      <w:tr>
        <w:trPr/>
        <w:tc>
          <w:tcPr>
            <w:tcW w:w="893"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64" w:before="0" w:after="0"/>
              <w:ind w:hanging="0" w:left="0" w:right="0"/>
              <w:jc w:val="center"/>
              <w:rPr>
                <w:rFonts w:ascii="Arial" w:hAnsi="Arial"/>
                <w:b/>
                <w:sz w:val="16"/>
              </w:rPr>
            </w:pPr>
            <w:r>
              <w:rPr>
                <w:rFonts w:ascii="Arial" w:hAnsi="Arial"/>
                <w:b/>
                <w:color w:val="000009"/>
                <w:sz w:val="16"/>
              </w:rPr>
              <w:t>1</w:t>
            </w:r>
          </w:p>
        </w:tc>
        <w:tc>
          <w:tcPr>
            <w:tcW w:w="874"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color w:val="000009"/>
                <w:sz w:val="14"/>
              </w:rPr>
              <w:t>Kg</w:t>
            </w:r>
          </w:p>
        </w:tc>
        <w:tc>
          <w:tcPr>
            <w:tcW w:w="815"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before="0" w:after="0"/>
              <w:ind w:hanging="0" w:left="0" w:right="0"/>
              <w:jc w:val="center"/>
              <w:rPr>
                <w:rFonts w:ascii="Arial" w:hAnsi="Arial"/>
                <w:sz w:val="14"/>
              </w:rPr>
            </w:pPr>
            <w:r>
              <w:rPr>
                <w:rFonts w:ascii="Arial" w:hAnsi="Arial"/>
                <w:sz w:val="14"/>
              </w:rPr>
            </w:r>
          </w:p>
        </w:tc>
        <w:tc>
          <w:tcPr>
            <w:tcW w:w="646"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sz w:val="14"/>
              </w:rPr>
            </w:r>
          </w:p>
        </w:tc>
        <w:tc>
          <w:tcPr>
            <w:tcW w:w="647"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sz w:val="14"/>
              </w:rPr>
            </w:r>
          </w:p>
        </w:tc>
        <w:tc>
          <w:tcPr>
            <w:tcW w:w="827"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pacing w:before="0" w:after="0"/>
              <w:ind w:hanging="0" w:left="0" w:right="0"/>
              <w:jc w:val="center"/>
              <w:rPr>
                <w:rFonts w:ascii="Arial" w:hAnsi="Arial"/>
                <w:sz w:val="14"/>
              </w:rPr>
            </w:pPr>
            <w:r>
              <w:rPr>
                <w:rFonts w:ascii="Arial" w:hAnsi="Arial"/>
                <w:sz w:val="14"/>
              </w:rPr>
            </w:r>
          </w:p>
        </w:tc>
        <w:tc>
          <w:tcPr>
            <w:tcW w:w="712"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pacing w:before="0" w:after="0"/>
              <w:ind w:hanging="0" w:left="0" w:right="0"/>
              <w:jc w:val="center"/>
              <w:rPr>
                <w:rFonts w:ascii="Arial" w:hAnsi="Arial"/>
                <w:sz w:val="14"/>
              </w:rPr>
            </w:pPr>
            <w:r>
              <w:rPr>
                <w:rFonts w:ascii="Arial" w:hAnsi="Arial"/>
                <w:sz w:val="14"/>
              </w:rPr>
            </w:r>
          </w:p>
        </w:tc>
        <w:tc>
          <w:tcPr>
            <w:tcW w:w="747"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sz w:val="14"/>
              </w:rPr>
            </w:r>
          </w:p>
        </w:tc>
        <w:tc>
          <w:tcPr>
            <w:tcW w:w="726"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sz w:val="14"/>
              </w:rPr>
            </w:r>
          </w:p>
        </w:tc>
        <w:tc>
          <w:tcPr>
            <w:tcW w:w="616"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sz w:val="14"/>
              </w:rPr>
            </w:r>
          </w:p>
        </w:tc>
        <w:tc>
          <w:tcPr>
            <w:tcW w:w="780"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sz w:val="14"/>
              </w:rPr>
            </w:r>
          </w:p>
        </w:tc>
        <w:tc>
          <w:tcPr>
            <w:tcW w:w="618" w:type="dxa"/>
            <w:tcBorders>
              <w:top w:val="single" w:sz="8" w:space="0" w:color="000000"/>
              <w:left w:val="single" w:sz="8" w:space="0" w:color="000000"/>
              <w:bottom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sz w:val="14"/>
              </w:rPr>
            </w:r>
          </w:p>
        </w:tc>
        <w:tc>
          <w:tcPr>
            <w:tcW w:w="518"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sz w:val="14"/>
              </w:rPr>
            </w:r>
          </w:p>
        </w:tc>
      </w:tr>
      <w:tr>
        <w:trPr/>
        <w:tc>
          <w:tcPr>
            <w:tcW w:w="893"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64" w:before="0" w:after="0"/>
              <w:ind w:hanging="0" w:left="0" w:right="0"/>
              <w:jc w:val="center"/>
              <w:rPr>
                <w:rFonts w:ascii="Arial" w:hAnsi="Arial"/>
                <w:b/>
                <w:sz w:val="16"/>
              </w:rPr>
            </w:pPr>
            <w:r>
              <w:rPr>
                <w:rFonts w:ascii="Arial" w:hAnsi="Arial"/>
                <w:b/>
                <w:color w:val="000009"/>
                <w:sz w:val="16"/>
              </w:rPr>
              <w:t>2</w:t>
            </w:r>
          </w:p>
        </w:tc>
        <w:tc>
          <w:tcPr>
            <w:tcW w:w="874"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color w:val="000009"/>
                <w:sz w:val="14"/>
              </w:rPr>
              <w:t>Un</w:t>
            </w:r>
          </w:p>
        </w:tc>
        <w:tc>
          <w:tcPr>
            <w:tcW w:w="815"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before="0" w:after="0"/>
              <w:ind w:hanging="0" w:left="0" w:right="0"/>
              <w:jc w:val="center"/>
              <w:rPr>
                <w:rFonts w:ascii="Arial" w:hAnsi="Arial"/>
                <w:sz w:val="14"/>
              </w:rPr>
            </w:pPr>
            <w:r>
              <w:rPr>
                <w:rFonts w:ascii="Arial" w:hAnsi="Arial"/>
                <w:sz w:val="14"/>
              </w:rPr>
            </w:r>
          </w:p>
        </w:tc>
        <w:tc>
          <w:tcPr>
            <w:tcW w:w="646"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sz w:val="14"/>
              </w:rPr>
            </w:r>
          </w:p>
        </w:tc>
        <w:tc>
          <w:tcPr>
            <w:tcW w:w="647"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pacing w:before="0" w:after="0"/>
              <w:ind w:hanging="0" w:left="0" w:right="0"/>
              <w:jc w:val="center"/>
              <w:rPr>
                <w:rFonts w:ascii="Arial" w:hAnsi="Arial"/>
                <w:sz w:val="14"/>
              </w:rPr>
            </w:pPr>
            <w:r>
              <w:rPr>
                <w:rFonts w:ascii="Arial" w:hAnsi="Arial"/>
                <w:sz w:val="14"/>
              </w:rPr>
            </w:r>
          </w:p>
        </w:tc>
        <w:tc>
          <w:tcPr>
            <w:tcW w:w="827"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pacing w:before="0" w:after="0"/>
              <w:ind w:hanging="0" w:left="0" w:right="0"/>
              <w:jc w:val="center"/>
              <w:rPr>
                <w:rFonts w:ascii="Arial" w:hAnsi="Arial"/>
                <w:sz w:val="14"/>
              </w:rPr>
            </w:pPr>
            <w:r>
              <w:rPr>
                <w:rFonts w:ascii="Arial" w:hAnsi="Arial"/>
                <w:sz w:val="14"/>
              </w:rPr>
            </w:r>
          </w:p>
        </w:tc>
        <w:tc>
          <w:tcPr>
            <w:tcW w:w="712"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pacing w:before="0" w:after="0"/>
              <w:ind w:hanging="0" w:left="0" w:right="0"/>
              <w:jc w:val="center"/>
              <w:rPr>
                <w:rFonts w:ascii="Arial" w:hAnsi="Arial"/>
                <w:sz w:val="14"/>
              </w:rPr>
            </w:pPr>
            <w:r>
              <w:rPr>
                <w:rFonts w:ascii="Arial" w:hAnsi="Arial"/>
                <w:sz w:val="14"/>
              </w:rPr>
            </w:r>
          </w:p>
        </w:tc>
        <w:tc>
          <w:tcPr>
            <w:tcW w:w="747"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sz w:val="14"/>
              </w:rPr>
            </w:r>
          </w:p>
        </w:tc>
        <w:tc>
          <w:tcPr>
            <w:tcW w:w="726"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sz w:val="14"/>
              </w:rPr>
            </w:r>
          </w:p>
        </w:tc>
        <w:tc>
          <w:tcPr>
            <w:tcW w:w="616"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sz w:val="14"/>
              </w:rPr>
            </w:r>
          </w:p>
        </w:tc>
        <w:tc>
          <w:tcPr>
            <w:tcW w:w="780"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sz w:val="14"/>
              </w:rPr>
            </w:r>
          </w:p>
        </w:tc>
        <w:tc>
          <w:tcPr>
            <w:tcW w:w="618" w:type="dxa"/>
            <w:tcBorders>
              <w:top w:val="single" w:sz="8" w:space="0" w:color="000000"/>
              <w:left w:val="single" w:sz="8" w:space="0" w:color="000000"/>
              <w:bottom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sz w:val="14"/>
              </w:rPr>
            </w:r>
          </w:p>
        </w:tc>
        <w:tc>
          <w:tcPr>
            <w:tcW w:w="518" w:type="dxa"/>
            <w:tcBorders>
              <w:top w:val="single" w:sz="8" w:space="0" w:color="000000"/>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sz w:val="14"/>
              </w:rPr>
            </w:r>
          </w:p>
        </w:tc>
      </w:tr>
      <w:tr>
        <w:trPr/>
        <w:tc>
          <w:tcPr>
            <w:tcW w:w="893" w:type="dxa"/>
            <w:tcBorders>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64" w:before="0" w:after="0"/>
              <w:ind w:hanging="0" w:left="0" w:right="0"/>
              <w:jc w:val="center"/>
              <w:rPr>
                <w:rFonts w:ascii="Arial" w:hAnsi="Arial"/>
                <w:b/>
                <w:sz w:val="16"/>
              </w:rPr>
            </w:pPr>
            <w:r>
              <w:rPr>
                <w:rFonts w:ascii="Arial" w:hAnsi="Arial"/>
                <w:b/>
                <w:sz w:val="16"/>
              </w:rPr>
              <w:t>3 ...</w:t>
            </w:r>
          </w:p>
        </w:tc>
        <w:tc>
          <w:tcPr>
            <w:tcW w:w="874" w:type="dxa"/>
            <w:tcBorders>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sz w:val="14"/>
              </w:rPr>
            </w:r>
          </w:p>
        </w:tc>
        <w:tc>
          <w:tcPr>
            <w:tcW w:w="815" w:type="dxa"/>
            <w:tcBorders>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before="0" w:after="0"/>
              <w:ind w:hanging="0" w:left="0" w:right="0"/>
              <w:jc w:val="center"/>
              <w:rPr>
                <w:rFonts w:ascii="Arial" w:hAnsi="Arial"/>
                <w:sz w:val="14"/>
              </w:rPr>
            </w:pPr>
            <w:r>
              <w:rPr>
                <w:rFonts w:ascii="Arial" w:hAnsi="Arial"/>
                <w:sz w:val="14"/>
              </w:rPr>
            </w:r>
          </w:p>
        </w:tc>
        <w:tc>
          <w:tcPr>
            <w:tcW w:w="646" w:type="dxa"/>
            <w:tcBorders>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sz w:val="14"/>
              </w:rPr>
            </w:r>
          </w:p>
        </w:tc>
        <w:tc>
          <w:tcPr>
            <w:tcW w:w="647" w:type="dxa"/>
            <w:tcBorders>
              <w:left w:val="single" w:sz="8" w:space="0" w:color="000000"/>
              <w:bottom w:val="single" w:sz="8" w:space="0" w:color="000000"/>
              <w:right w:val="single" w:sz="8" w:space="0" w:color="000000"/>
            </w:tcBorders>
            <w:vAlign w:val="center"/>
          </w:tcPr>
          <w:p>
            <w:pPr>
              <w:pStyle w:val="TableParagraph"/>
              <w:widowControl w:val="false"/>
              <w:spacing w:before="0" w:after="0"/>
              <w:ind w:hanging="0" w:left="0" w:right="0"/>
              <w:jc w:val="center"/>
              <w:rPr>
                <w:rFonts w:ascii="Arial" w:hAnsi="Arial"/>
                <w:sz w:val="14"/>
              </w:rPr>
            </w:pPr>
            <w:r>
              <w:rPr>
                <w:rFonts w:ascii="Arial" w:hAnsi="Arial"/>
                <w:sz w:val="14"/>
              </w:rPr>
            </w:r>
          </w:p>
        </w:tc>
        <w:tc>
          <w:tcPr>
            <w:tcW w:w="827" w:type="dxa"/>
            <w:tcBorders>
              <w:left w:val="single" w:sz="8" w:space="0" w:color="000000"/>
              <w:bottom w:val="single" w:sz="8" w:space="0" w:color="000000"/>
              <w:right w:val="single" w:sz="8" w:space="0" w:color="000000"/>
            </w:tcBorders>
            <w:vAlign w:val="center"/>
          </w:tcPr>
          <w:p>
            <w:pPr>
              <w:pStyle w:val="TableParagraph"/>
              <w:widowControl w:val="false"/>
              <w:spacing w:before="0" w:after="0"/>
              <w:ind w:hanging="0" w:left="0" w:right="0"/>
              <w:jc w:val="center"/>
              <w:rPr>
                <w:rFonts w:ascii="Arial" w:hAnsi="Arial"/>
                <w:sz w:val="14"/>
              </w:rPr>
            </w:pPr>
            <w:r>
              <w:rPr>
                <w:rFonts w:ascii="Arial" w:hAnsi="Arial"/>
                <w:sz w:val="14"/>
              </w:rPr>
            </w:r>
          </w:p>
        </w:tc>
        <w:tc>
          <w:tcPr>
            <w:tcW w:w="712" w:type="dxa"/>
            <w:tcBorders>
              <w:left w:val="single" w:sz="8" w:space="0" w:color="000000"/>
              <w:bottom w:val="single" w:sz="8" w:space="0" w:color="000000"/>
              <w:right w:val="single" w:sz="8" w:space="0" w:color="000000"/>
            </w:tcBorders>
            <w:vAlign w:val="center"/>
          </w:tcPr>
          <w:p>
            <w:pPr>
              <w:pStyle w:val="TableParagraph"/>
              <w:widowControl w:val="false"/>
              <w:spacing w:before="0" w:after="0"/>
              <w:ind w:hanging="0" w:left="0" w:right="0"/>
              <w:jc w:val="center"/>
              <w:rPr>
                <w:rFonts w:ascii="Arial" w:hAnsi="Arial"/>
                <w:sz w:val="14"/>
              </w:rPr>
            </w:pPr>
            <w:r>
              <w:rPr>
                <w:rFonts w:ascii="Arial" w:hAnsi="Arial"/>
                <w:sz w:val="14"/>
              </w:rPr>
            </w:r>
          </w:p>
        </w:tc>
        <w:tc>
          <w:tcPr>
            <w:tcW w:w="747" w:type="dxa"/>
            <w:tcBorders>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sz w:val="14"/>
              </w:rPr>
            </w:r>
          </w:p>
        </w:tc>
        <w:tc>
          <w:tcPr>
            <w:tcW w:w="726" w:type="dxa"/>
            <w:tcBorders>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sz w:val="14"/>
              </w:rPr>
            </w:r>
          </w:p>
        </w:tc>
        <w:tc>
          <w:tcPr>
            <w:tcW w:w="616" w:type="dxa"/>
            <w:tcBorders>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sz w:val="14"/>
              </w:rPr>
            </w:r>
          </w:p>
        </w:tc>
        <w:tc>
          <w:tcPr>
            <w:tcW w:w="780" w:type="dxa"/>
            <w:tcBorders>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sz w:val="14"/>
              </w:rPr>
            </w:r>
          </w:p>
        </w:tc>
        <w:tc>
          <w:tcPr>
            <w:tcW w:w="618" w:type="dxa"/>
            <w:tcBorders>
              <w:left w:val="single" w:sz="8" w:space="0" w:color="000000"/>
              <w:bottom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sz w:val="14"/>
              </w:rPr>
            </w:r>
          </w:p>
        </w:tc>
        <w:tc>
          <w:tcPr>
            <w:tcW w:w="518" w:type="dxa"/>
            <w:tcBorders>
              <w:left w:val="single" w:sz="8" w:space="0" w:color="000000"/>
              <w:bottom w:val="single" w:sz="8" w:space="0" w:color="000000"/>
              <w:right w:val="single" w:sz="8" w:space="0" w:color="000000"/>
            </w:tcBorders>
            <w:vAlign w:val="center"/>
          </w:tcPr>
          <w:p>
            <w:pPr>
              <w:pStyle w:val="TableParagraph"/>
              <w:widowControl w:val="false"/>
              <w:suppressAutoHyphens w:val="false"/>
              <w:overflowPunct w:val="true"/>
              <w:bidi w:val="0"/>
              <w:spacing w:lineRule="exact" w:line="153" w:before="0" w:after="0"/>
              <w:ind w:hanging="0" w:left="0" w:right="0"/>
              <w:jc w:val="center"/>
              <w:rPr>
                <w:rFonts w:ascii="Arial" w:hAnsi="Arial"/>
                <w:sz w:val="14"/>
              </w:rPr>
            </w:pPr>
            <w:r>
              <w:rPr>
                <w:rFonts w:ascii="Arial" w:hAnsi="Arial"/>
                <w:sz w:val="14"/>
              </w:rPr>
            </w:r>
          </w:p>
        </w:tc>
      </w:tr>
    </w:tbl>
    <w:p>
      <w:pPr>
        <w:pStyle w:val="Normal"/>
        <w:widowControl/>
        <w:bidi w:val="0"/>
        <w:spacing w:lineRule="auto" w:line="276" w:before="120" w:after="120"/>
        <w:ind w:hanging="0" w:left="567" w:right="0"/>
        <w:jc w:val="both"/>
        <w:rPr>
          <w:rFonts w:ascii="Arial" w:hAnsi="Arial"/>
        </w:rPr>
      </w:pPr>
      <w:r>
        <w:rPr>
          <w:rFonts w:ascii="Arial" w:hAnsi="Arial"/>
        </w:rPr>
      </w:r>
    </w:p>
    <w:p>
      <w:pPr>
        <w:pStyle w:val="Nivel01"/>
        <w:numPr>
          <w:ilvl w:val="0"/>
          <w:numId w:val="1"/>
        </w:numPr>
        <w:ind w:hanging="0" w:left="0"/>
        <w:rPr>
          <w:i/>
          <w:i/>
          <w:color w:val="FF0000"/>
        </w:rPr>
      </w:pPr>
      <w:r>
        <w:rPr/>
        <w:t xml:space="preserve">DA ADESÃO À ATA DE REGISTRO DE PREÇOS </w:t>
      </w:r>
    </w:p>
    <w:p>
      <w:pPr>
        <w:pStyle w:val="Nvel2-Red"/>
        <w:numPr>
          <w:ilvl w:val="1"/>
          <w:numId w:val="1"/>
        </w:numPr>
        <w:ind w:hanging="0" w:left="567" w:right="0"/>
        <w:rPr>
          <w:i w:val="false"/>
          <w:i w:val="false"/>
          <w:iCs w:val="false"/>
          <w:color w:val="auto"/>
        </w:rPr>
      </w:pPr>
      <w:r>
        <w:rPr>
          <w:i w:val="false"/>
          <w:iCs w:val="false"/>
          <w:color w:val="auto"/>
          <w:lang w:eastAsia="en-US"/>
        </w:rPr>
        <w:t xml:space="preserve"> </w:t>
      </w:r>
      <w:commentRangeStart w:id="0"/>
      <w:r>
        <w:rPr>
          <w:i w:val="false"/>
          <w:iCs w:val="false"/>
          <w:color w:val="auto"/>
          <w:lang w:eastAsia="en-US"/>
        </w:rPr>
        <w:t xml:space="preserve">Não será admitida a adesão à ata de registro de preços </w:t>
      </w:r>
      <w:r>
        <w:rPr>
          <w:i w:val="false"/>
          <w:iCs w:val="false"/>
          <w:color w:val="auto"/>
          <w:lang w:eastAsia="en-US"/>
        </w:rPr>
      </w:r>
      <w:commentRangeEnd w:id="0"/>
      <w:r>
        <w:commentReference w:id="0"/>
      </w:r>
      <w:r>
        <w:rPr>
          <w:i w:val="false"/>
          <w:iCs w:val="false"/>
          <w:color w:val="auto"/>
          <w:lang w:eastAsia="en-US"/>
        </w:rPr>
        <w:t>decorrente desta licitação, conforme justificativa apresentada nos estudos técnicos preliminares.</w:t>
      </w:r>
    </w:p>
    <w:p>
      <w:pPr>
        <w:pStyle w:val="Nivel2"/>
        <w:numPr>
          <w:ilvl w:val="1"/>
          <w:numId w:val="1"/>
        </w:numPr>
        <w:ind w:hanging="0" w:left="0"/>
        <w:rPr/>
      </w:pPr>
      <w:r>
        <w:rPr/>
        <w:t>A adesão à ata de registro de preços por órgãos e en</w:t>
      </w:r>
      <w:r>
        <w:rPr>
          <w:rFonts w:eastAsia="Arial"/>
        </w:rPr>
        <w:t>ti</w:t>
      </w:r>
      <w:r>
        <w:rPr/>
        <w:t>dades da Administração Pública estadual, distrital e municipal poderá ser exigida para fins de transferências voluntárias, não ficando sujeita ao limite de que trata o item 4.7, desde que seja des</w:t>
      </w:r>
      <w:r>
        <w:rPr>
          <w:rFonts w:eastAsia="Arial"/>
        </w:rPr>
        <w:t>ti</w:t>
      </w:r>
      <w:r>
        <w:rPr/>
        <w:t>nada à execução descentralizada de programa ou projeto federal e comprovada a compatibilidade dos preços registrados com os valores praticados no mercado na forma do art. 23 da Lei nº 14.133, de 2021.</w:t>
      </w:r>
    </w:p>
    <w:p>
      <w:pPr>
        <w:pStyle w:val="SubTitNN"/>
        <w:rPr/>
      </w:pPr>
      <w:r>
        <w:rPr/>
        <w:t>Vedação a acréscimo de quantitativos</w:t>
      </w:r>
    </w:p>
    <w:p>
      <w:pPr>
        <w:pStyle w:val="Nivel2"/>
        <w:numPr>
          <w:ilvl w:val="1"/>
          <w:numId w:val="1"/>
        </w:numPr>
        <w:ind w:hanging="0" w:left="0"/>
        <w:rPr/>
      </w:pPr>
      <w:r>
        <w:rPr/>
        <w:t>É vedado efetuar acréscimos nos quantitativos fixados na ata de registro de preços.</w:t>
      </w:r>
    </w:p>
    <w:p>
      <w:pPr>
        <w:pStyle w:val="Nivel01"/>
        <w:numPr>
          <w:ilvl w:val="0"/>
          <w:numId w:val="1"/>
        </w:numPr>
        <w:ind w:hanging="0" w:left="0"/>
        <w:rPr/>
      </w:pPr>
      <w:r>
        <w:rPr/>
        <w:t>VALIDADE, FORMALIZAÇÃO DA ATA DE REGISTRO DE PREÇOS E CADASTRO RESERVA</w:t>
      </w:r>
    </w:p>
    <w:p>
      <w:pPr>
        <w:pStyle w:val="Nivel2"/>
        <w:numPr>
          <w:ilvl w:val="1"/>
          <w:numId w:val="1"/>
        </w:numPr>
        <w:ind w:hanging="0" w:left="0"/>
        <w:rPr>
          <w:iCs/>
        </w:rPr>
      </w:pPr>
      <w:r>
        <w:rPr/>
        <w:t xml:space="preserve">A validade da Ata de Registro de Preços será de 1 (um) ano, contado a </w:t>
      </w:r>
      <w:commentRangeStart w:id="1"/>
      <w:r>
        <w:rPr/>
        <w:t>partir</w:t>
      </w:r>
      <w:r>
        <w:rPr/>
      </w:r>
      <w:commentRangeEnd w:id="1"/>
      <w:r>
        <w:commentReference w:id="1"/>
      </w:r>
      <w:r>
        <w:rPr/>
        <w:t xml:space="preserve"> do primeiro dia útil subsequente à data de divulgação no PNCP, </w:t>
      </w:r>
      <w:r>
        <w:rPr>
          <w:color w:val="000000"/>
        </w:rPr>
        <w:t>podendo ser prorrogada por igual período, mediante a anuência do fornecedor, desde que comprovado o preço vantajoso.</w:t>
      </w:r>
    </w:p>
    <w:p>
      <w:pPr>
        <w:pStyle w:val="Nvel3-R"/>
        <w:numPr>
          <w:ilvl w:val="2"/>
          <w:numId w:val="1"/>
        </w:numPr>
        <w:ind w:hanging="0" w:left="284"/>
        <w:rPr>
          <w:rFonts w:eastAsia="" w:eastAsiaTheme="minorEastAsia"/>
          <w:color w:val="000000"/>
          <w:highlight w:val="none"/>
          <w:shd w:fill="FFFFFF" w:val="clear"/>
        </w:rPr>
      </w:pPr>
      <w:commentRangeStart w:id="2"/>
      <w:r>
        <w:rPr>
          <w:rFonts w:eastAsia="" w:eastAsiaTheme="minorEastAsia"/>
          <w:i w:val="false"/>
          <w:iCs w:val="false"/>
          <w:color w:val="000000"/>
          <w:shd w:fill="FFFFFF" w:val="clear"/>
        </w:rPr>
        <w:t xml:space="preserve">Em caso de prorrogação da ata, </w:t>
      </w:r>
      <w:r>
        <w:rPr>
          <w:rFonts w:eastAsia="" w:eastAsiaTheme="minorEastAsia"/>
          <w:color w:val="000000"/>
          <w:shd w:fill="FFFFFF" w:val="clear"/>
        </w:rPr>
        <w:t xml:space="preserve">poderá </w:t>
      </w:r>
      <w:r>
        <w:rPr>
          <w:rFonts w:eastAsia="" w:eastAsiaTheme="minorEastAsia"/>
          <w:i w:val="false"/>
          <w:iCs w:val="false"/>
          <w:color w:val="000000"/>
          <w:shd w:fill="FFFFFF" w:val="clear"/>
        </w:rPr>
        <w:t>ser renovado o quantitativo originalmente registrado.</w:t>
      </w:r>
      <w:commentRangeEnd w:id="2"/>
      <w:r>
        <w:commentReference w:id="2"/>
      </w:r>
      <w:r>
        <w:rPr>
          <w:rFonts w:eastAsia="" w:eastAsiaTheme="minorEastAsia"/>
          <w:i w:val="false"/>
          <w:iCs w:val="false"/>
          <w:color w:val="000000"/>
          <w:shd w:fill="FFFFFF" w:val="clear"/>
        </w:rPr>
      </w:r>
    </w:p>
    <w:p>
      <w:pPr>
        <w:pStyle w:val="Nvel3"/>
        <w:numPr>
          <w:ilvl w:val="2"/>
          <w:numId w:val="1"/>
        </w:numPr>
        <w:ind w:hanging="0" w:left="284"/>
        <w:rPr/>
      </w:pPr>
      <w:r>
        <w:rPr/>
        <w:t>O contrato decorrente da ata de registro de preços terá sua vigência estabelecida no próprio instrumento contratual e observará no momento da contratação e a cada exercício financeiro a disponibilidade de créditos orçamentários, bem como a previsão no plano plurianual, quando ultrapassar 1 (um) exercício financeiro.</w:t>
      </w:r>
    </w:p>
    <w:p>
      <w:pPr>
        <w:pStyle w:val="Nvel3"/>
        <w:numPr>
          <w:ilvl w:val="2"/>
          <w:numId w:val="1"/>
        </w:numPr>
        <w:ind w:hanging="0" w:left="284"/>
        <w:rPr/>
      </w:pPr>
      <w:r>
        <w:rPr/>
        <w:t>Na formalização do contrato ou do instrumento substituto deverá haver a indicação da disponibilidade dos créditos orçamentários respectivos.</w:t>
      </w:r>
    </w:p>
    <w:p>
      <w:pPr>
        <w:pStyle w:val="Nivel2"/>
        <w:numPr>
          <w:ilvl w:val="1"/>
          <w:numId w:val="1"/>
        </w:numPr>
        <w:ind w:hanging="0" w:left="0"/>
        <w:rPr/>
      </w:pPr>
      <w:r>
        <w:rPr/>
        <w:t>A contratação com os fornecedores registrados na ata será formalizada pelo órgão ou pela en</w:t>
      </w:r>
      <w:r>
        <w:rPr>
          <w:rFonts w:eastAsia="Arial"/>
        </w:rPr>
        <w:t>ti</w:t>
      </w:r>
      <w:r>
        <w:rPr/>
        <w:t>dade interessada por intermédio de instrumento contratual, emissão de nota de empenho de despesa, autorização de compra ou outro instrumento hábil, conforme o art. 95 da Lei nº 14.133, de 2021.</w:t>
      </w:r>
    </w:p>
    <w:p>
      <w:pPr>
        <w:pStyle w:val="Nvel3"/>
        <w:numPr>
          <w:ilvl w:val="2"/>
          <w:numId w:val="1"/>
        </w:numPr>
        <w:ind w:hanging="0" w:left="284"/>
        <w:rPr/>
      </w:pPr>
      <w:r>
        <w:rPr/>
        <w:t xml:space="preserve"> </w:t>
      </w:r>
      <w:r>
        <w:rPr/>
        <w:t>O instrumento contratual de que trata o item 5.2. deverá ser assinado no prazo de validade da ata de registro de preços.</w:t>
      </w:r>
    </w:p>
    <w:p>
      <w:pPr>
        <w:pStyle w:val="Nivel2"/>
        <w:numPr>
          <w:ilvl w:val="1"/>
          <w:numId w:val="1"/>
        </w:numPr>
        <w:ind w:hanging="0" w:left="0"/>
        <w:rPr/>
      </w:pPr>
      <w:r>
        <w:rPr/>
        <w:t>Os contratos decorrentes do sistema de registro de preços poderão ser alterados, observado o art. 124 da Lei nº 14.133, de 2021.</w:t>
      </w:r>
    </w:p>
    <w:p>
      <w:pPr>
        <w:pStyle w:val="Nivel2"/>
        <w:numPr>
          <w:ilvl w:val="1"/>
          <w:numId w:val="1"/>
        </w:numPr>
        <w:ind w:hanging="0" w:left="0"/>
        <w:rPr/>
      </w:pPr>
      <w:r>
        <w:rPr/>
        <w:t>Após a homologação da licitação ou da contratação direta, deverão ser observadas as seguintes condições para formalização da ata de registro de preços:</w:t>
      </w:r>
    </w:p>
    <w:p>
      <w:pPr>
        <w:pStyle w:val="Nvel3"/>
        <w:numPr>
          <w:ilvl w:val="2"/>
          <w:numId w:val="1"/>
        </w:numPr>
        <w:ind w:hanging="0" w:left="284"/>
        <w:rPr/>
      </w:pPr>
      <w:r>
        <w:rPr/>
        <w:t>Serão registrados na ata os preços e os quantita</w:t>
      </w:r>
      <w:r>
        <w:rPr>
          <w:rFonts w:eastAsia="Arial"/>
        </w:rPr>
        <w:t>ti</w:t>
      </w:r>
      <w:r>
        <w:rPr/>
        <w:t>vos do adjudicatário, devendo ser observada a possibilidade de o licitante oferecer ou não proposta em quantitativo inferior ao máximo pre</w:t>
      </w:r>
      <w:r>
        <w:rPr>
          <w:color w:val="000000"/>
        </w:rPr>
        <w:t>visto no</w:t>
      </w:r>
      <w:r>
        <w:rPr>
          <w:i/>
          <w:iCs/>
          <w:color w:val="000000"/>
        </w:rPr>
        <w:t xml:space="preserve"> </w:t>
      </w:r>
      <w:r>
        <w:rPr>
          <w:i/>
          <w:color w:val="000000"/>
        </w:rPr>
        <w:t xml:space="preserve">[edital] </w:t>
      </w:r>
      <w:r>
        <w:rPr>
          <w:color w:val="000000"/>
        </w:rPr>
        <w:t xml:space="preserve">e </w:t>
      </w:r>
      <w:r>
        <w:rPr/>
        <w:t>se obrigar nos limites dela;</w:t>
      </w:r>
    </w:p>
    <w:p>
      <w:pPr>
        <w:pStyle w:val="Nvel3"/>
        <w:numPr>
          <w:ilvl w:val="2"/>
          <w:numId w:val="1"/>
        </w:numPr>
        <w:ind w:hanging="0" w:left="284"/>
        <w:rPr/>
      </w:pPr>
      <w:r>
        <w:rPr/>
        <w:t>Será incluído na ata, na forma de anexo, o registro dos licitantes ou dos fornecedores que:</w:t>
      </w:r>
    </w:p>
    <w:p>
      <w:pPr>
        <w:pStyle w:val="Nvel4"/>
        <w:numPr>
          <w:ilvl w:val="3"/>
          <w:numId w:val="1"/>
        </w:numPr>
        <w:ind w:hanging="0" w:left="567"/>
        <w:rPr/>
      </w:pPr>
      <w:r>
        <w:rPr/>
        <w:t xml:space="preserve">Aceitarem cotar os bens, as obras ou os serviços com preços iguais aos do adjudicatário, observada a classificação da licitação; e </w:t>
      </w:r>
    </w:p>
    <w:p>
      <w:pPr>
        <w:pStyle w:val="Nvel4"/>
        <w:numPr>
          <w:ilvl w:val="3"/>
          <w:numId w:val="1"/>
        </w:numPr>
        <w:ind w:hanging="0" w:left="567"/>
        <w:rPr/>
      </w:pPr>
      <w:r>
        <w:rPr/>
        <w:t xml:space="preserve">Mantiverem sua proposta original. </w:t>
      </w:r>
      <w:bookmarkStart w:id="0" w:name="cadastro_reserva"/>
      <w:bookmarkEnd w:id="0"/>
    </w:p>
    <w:p>
      <w:pPr>
        <w:pStyle w:val="Nvel3"/>
        <w:numPr>
          <w:ilvl w:val="2"/>
          <w:numId w:val="1"/>
        </w:numPr>
        <w:ind w:hanging="0" w:left="284"/>
        <w:rPr/>
      </w:pPr>
      <w:r>
        <w:rPr/>
        <w:t>Será respeitada, nas contratações, a ordem de classificação dos licitantes ou dos fornecedores registrados na ata.</w:t>
      </w:r>
    </w:p>
    <w:p>
      <w:pPr>
        <w:pStyle w:val="Nivel2"/>
        <w:numPr>
          <w:ilvl w:val="1"/>
          <w:numId w:val="1"/>
        </w:numPr>
        <w:ind w:hanging="0" w:left="0"/>
        <w:rPr/>
      </w:pPr>
      <w:r>
        <w:rPr/>
        <w:t>O registro a que se refere o item 5.4.2</w:t>
      </w:r>
      <w:r>
        <w:rPr>
          <w:b/>
          <w:bCs/>
        </w:rPr>
        <w:t xml:space="preserve"> </w:t>
      </w:r>
      <w:r>
        <w:rPr/>
        <w:t>tem por obje</w:t>
      </w:r>
      <w:r>
        <w:rPr>
          <w:rFonts w:eastAsia="Arial"/>
        </w:rPr>
        <w:t>ti</w:t>
      </w:r>
      <w:r>
        <w:rPr/>
        <w:t>vo a formação de cadastro de reserva para o caso de impossibilidade de atendimento pelo signatário da ata.</w:t>
      </w:r>
    </w:p>
    <w:p>
      <w:pPr>
        <w:pStyle w:val="Nivel2"/>
        <w:numPr>
          <w:ilvl w:val="1"/>
          <w:numId w:val="1"/>
        </w:numPr>
        <w:ind w:hanging="0" w:left="0"/>
        <w:rPr/>
      </w:pPr>
      <w:r>
        <w:rPr/>
        <w:t>Para fins da ordem de classificação, os licitantes ou fornecedores que aceitarem reduzir suas propostas para o preço do adjudicatário antecederão aqueles que mantiverem sua proposta original.</w:t>
      </w:r>
    </w:p>
    <w:p>
      <w:pPr>
        <w:pStyle w:val="Nivel2"/>
        <w:numPr>
          <w:ilvl w:val="1"/>
          <w:numId w:val="1"/>
        </w:numPr>
        <w:ind w:hanging="0" w:left="0"/>
        <w:rPr/>
      </w:pPr>
      <w:r>
        <w:rPr/>
        <w:t xml:space="preserve">A habilitação dos licitantes que comporão o cadastro de reserva a que se refere o item </w:t>
      </w:r>
      <w:r>
        <w:rPr/>
        <w:fldChar w:fldCharType="begin"/>
      </w:r>
      <w:r>
        <w:rPr/>
        <w:instrText xml:space="preserve"> REF cadastro_reserva \r \r \h </w:instrText>
      </w:r>
      <w:r>
        <w:rPr/>
        <w:fldChar w:fldCharType="separate"/>
      </w:r>
      <w:r>
        <w:rPr/>
        <w:t>5.4.2.2</w:t>
      </w:r>
      <w:r>
        <w:rPr/>
        <w:fldChar w:fldCharType="end"/>
      </w:r>
      <w:r>
        <w:rPr/>
        <w:t xml:space="preserve"> somente será efetuada quando houver necessidade de contratação dos licitantes remanescentes, nas seguintes hipóteses:</w:t>
      </w:r>
    </w:p>
    <w:p>
      <w:pPr>
        <w:pStyle w:val="Nvel3"/>
        <w:numPr>
          <w:ilvl w:val="2"/>
          <w:numId w:val="1"/>
        </w:numPr>
        <w:ind w:hanging="0" w:left="284"/>
        <w:rPr/>
      </w:pPr>
      <w:r>
        <w:rPr/>
        <w:t>Quando o licitante vencedor não assinar a ata de registro de preços, no prazo e nas condições estabelecidos no</w:t>
      </w:r>
      <w:r>
        <w:rPr>
          <w:i/>
          <w:iCs/>
          <w:color w:val="000000"/>
        </w:rPr>
        <w:t xml:space="preserve"> </w:t>
      </w:r>
      <w:r>
        <w:rPr>
          <w:i/>
          <w:color w:val="000000"/>
        </w:rPr>
        <w:t>[edital];</w:t>
      </w:r>
      <w:r>
        <w:rPr>
          <w:color w:val="000000"/>
        </w:rPr>
        <w:t xml:space="preserve"> e</w:t>
      </w:r>
    </w:p>
    <w:p>
      <w:pPr>
        <w:pStyle w:val="Nvel3"/>
        <w:numPr>
          <w:ilvl w:val="2"/>
          <w:numId w:val="1"/>
        </w:numPr>
        <w:ind w:hanging="0" w:left="284"/>
        <w:rPr/>
      </w:pPr>
      <w:r>
        <w:rPr/>
        <w:t xml:space="preserve">Quando houver o cancelamento do registro do licitante ou do registro de preços nas hipóteses previstas no item </w:t>
      </w:r>
      <w:r>
        <w:rPr/>
        <w:fldChar w:fldCharType="begin"/>
      </w:r>
      <w:r>
        <w:rPr/>
        <w:instrText xml:space="preserve"> REF cancelamento \r \r \h </w:instrText>
      </w:r>
      <w:r>
        <w:rPr/>
        <w:fldChar w:fldCharType="separate"/>
      </w:r>
      <w:r>
        <w:rPr/>
        <w:t>9</w:t>
      </w:r>
      <w:r>
        <w:rPr/>
        <w:fldChar w:fldCharType="end"/>
      </w:r>
      <w:r>
        <w:rPr/>
        <w:t>.</w:t>
      </w:r>
    </w:p>
    <w:p>
      <w:pPr>
        <w:pStyle w:val="Nivel2"/>
        <w:numPr>
          <w:ilvl w:val="1"/>
          <w:numId w:val="1"/>
        </w:numPr>
        <w:ind w:hanging="0" w:left="0"/>
        <w:rPr/>
      </w:pPr>
      <w:r>
        <w:rPr/>
        <w:t>O preço registrado com indicação dos licitantes e fornecedores será divulgado no PNCP e ficará disponibilizado durante a vigência da ata de registro de preços.</w:t>
      </w:r>
    </w:p>
    <w:p>
      <w:pPr>
        <w:pStyle w:val="Nivel2"/>
        <w:numPr>
          <w:ilvl w:val="1"/>
          <w:numId w:val="1"/>
        </w:numPr>
        <w:ind w:hanging="0" w:left="0"/>
        <w:rPr/>
      </w:pPr>
      <w:r>
        <w:rPr/>
        <w:t>Após a homologação da licitação ou da contratação direta, o licitante mais bem classificado ou o fornecedor, no caso da contratação direta, será convocado para assinar a ata de registro de preços, no prazo e nas condições estabelecidos no edital de licitação ou no aviso de contratação direta, sob pena de decair o direito, sem prejuízo das sanções previstas na Lei nº 14.133, de 2021.</w:t>
      </w:r>
    </w:p>
    <w:p>
      <w:pPr>
        <w:pStyle w:val="Nvel3"/>
        <w:numPr>
          <w:ilvl w:val="2"/>
          <w:numId w:val="1"/>
        </w:numPr>
        <w:ind w:hanging="0" w:left="284"/>
        <w:rPr/>
      </w:pPr>
      <w:r>
        <w:rPr/>
        <w:t>O prazo de convocação poderá ser prorrogado 1 (uma) vez, por igual período, mediante solicitação do licitante ou fornecedor convocado, desde que apresentada dentro do prazo, devidamente justificada, e que a justificativa seja aceita pela Administração.</w:t>
      </w:r>
    </w:p>
    <w:p>
      <w:pPr>
        <w:pStyle w:val="Nivel2"/>
        <w:numPr>
          <w:ilvl w:val="1"/>
          <w:numId w:val="1"/>
        </w:numPr>
        <w:ind w:hanging="0" w:left="0"/>
        <w:rPr/>
      </w:pPr>
      <w:r>
        <w:rPr/>
        <w:t>A ata de registro de preços será assinada por meio de assinatura digital e disponibilizada no Sistema de Registro de Preços.</w:t>
      </w:r>
    </w:p>
    <w:p>
      <w:pPr>
        <w:pStyle w:val="Nivel2"/>
        <w:numPr>
          <w:ilvl w:val="1"/>
          <w:numId w:val="1"/>
        </w:numPr>
        <w:ind w:hanging="0" w:left="0"/>
        <w:rPr/>
      </w:pPr>
      <w:r>
        <w:rPr/>
        <w:t xml:space="preserve">Quando o convocado não assinar a ata de registro de preços no prazo e nas condições estabelecidos no edital ou no aviso de contratação, e observado o disposto no item </w:t>
      </w:r>
      <w:r>
        <w:rPr/>
        <w:fldChar w:fldCharType="begin"/>
      </w:r>
      <w:r>
        <w:rPr/>
        <w:instrText xml:space="preserve"> REF habilitacao_reserva \r \r \h </w:instrText>
      </w:r>
      <w:r>
        <w:rPr/>
        <w:fldChar w:fldCharType="separate"/>
      </w:r>
      <w:r>
        <w:rPr/>
        <w:t>Erro: Origem da referência não encontrada</w:t>
      </w:r>
      <w:r>
        <w:rPr/>
        <w:fldChar w:fldCharType="end"/>
      </w:r>
      <w:r>
        <w:rPr/>
        <w:t>, observando o item 5.7 e subitens, fica facultado à Administração convocar os licitantes remanescentes do cadastro de reserva, na ordem de classificação, para fazê-lo em igual prazo e nas condições propostas pelo primeiro classificado.</w:t>
      </w:r>
    </w:p>
    <w:p>
      <w:pPr>
        <w:pStyle w:val="Nivel2"/>
        <w:numPr>
          <w:ilvl w:val="1"/>
          <w:numId w:val="1"/>
        </w:numPr>
        <w:ind w:hanging="0" w:left="0"/>
        <w:rPr/>
      </w:pPr>
      <w:r>
        <w:rPr/>
        <w:t>Na hipótese de nenhum dos licitantes que trata o item 5.4.2.1, aceitar a contratação nos termos do item anterior, a Administração, observados o valor es</w:t>
      </w:r>
      <w:r>
        <w:rPr>
          <w:rFonts w:eastAsia="Arial"/>
        </w:rPr>
        <w:t>ti</w:t>
      </w:r>
      <w:r>
        <w:rPr/>
        <w:t xml:space="preserve">mado e sua eventual atualização nos termos </w:t>
      </w:r>
      <w:r>
        <w:rPr>
          <w:color w:val="000000"/>
        </w:rPr>
        <w:t xml:space="preserve">do </w:t>
      </w:r>
      <w:r>
        <w:rPr>
          <w:i/>
          <w:color w:val="000000"/>
        </w:rPr>
        <w:t>[edital]</w:t>
      </w:r>
      <w:r>
        <w:rPr>
          <w:color w:val="000000"/>
        </w:rPr>
        <w:t>, poderá</w:t>
      </w:r>
      <w:r>
        <w:rPr/>
        <w:t>:</w:t>
      </w:r>
    </w:p>
    <w:p>
      <w:pPr>
        <w:pStyle w:val="Nvel3"/>
        <w:numPr>
          <w:ilvl w:val="2"/>
          <w:numId w:val="1"/>
        </w:numPr>
        <w:ind w:hanging="0" w:left="284"/>
        <w:rPr/>
      </w:pPr>
      <w:r>
        <w:rPr/>
        <w:t>Convocar para negociação os demais licitantes ou fornecedores remanescentes cujos preços foram registrados sem redução, observada a ordem de classificação, com vistas à obtenção de preço melhor, mesmo que acima do preço do adjudicatário; ou</w:t>
      </w:r>
    </w:p>
    <w:p>
      <w:pPr>
        <w:pStyle w:val="Nvel3"/>
        <w:numPr>
          <w:ilvl w:val="2"/>
          <w:numId w:val="1"/>
        </w:numPr>
        <w:ind w:hanging="0" w:left="284"/>
        <w:rPr/>
      </w:pPr>
      <w:r>
        <w:rPr/>
        <w:t>Adjudicar e firmar o contrato nas condições ofertadas pelos licitantes ou fornecedores remanescentes, atendida a ordem classificatória, quando frustrada a negociação de melhor condição.</w:t>
      </w:r>
    </w:p>
    <w:p>
      <w:pPr>
        <w:pStyle w:val="Nivel2"/>
        <w:numPr>
          <w:ilvl w:val="1"/>
          <w:numId w:val="1"/>
        </w:numPr>
        <w:ind w:hanging="0" w:left="0"/>
        <w:rPr/>
      </w:pPr>
      <w:r>
        <w:rPr/>
        <w:t>A existência de preços registrados implicará compromisso de fornecimento nas condições estabelecidas, mas não obrigará a Administração a contratar, facultada a realização de licitação específica para a aquisição pretendida, desde que devidamente justificada.</w:t>
      </w:r>
    </w:p>
    <w:p>
      <w:pPr>
        <w:pStyle w:val="Nivel01"/>
        <w:numPr>
          <w:ilvl w:val="0"/>
          <w:numId w:val="1"/>
        </w:numPr>
        <w:ind w:hanging="0" w:left="0"/>
        <w:rPr/>
      </w:pPr>
      <w:r>
        <w:rPr/>
        <w:t>ALTERAÇÃO OU ATUALIZAÇÃO DOS PREÇOS REGISTRADOS</w:t>
      </w:r>
    </w:p>
    <w:p>
      <w:pPr>
        <w:pStyle w:val="Nivel2"/>
        <w:numPr>
          <w:ilvl w:val="1"/>
          <w:numId w:val="1"/>
        </w:numPr>
        <w:ind w:hanging="0" w:left="0"/>
        <w:rPr/>
      </w:pPr>
      <w:r>
        <w:rPr/>
        <w:t>Os preços registrados poderão ser alterados ou atualizados em decorrência de eventual redução dos preços pra</w:t>
      </w:r>
      <w:r>
        <w:rPr>
          <w:rFonts w:eastAsia="Calibri"/>
        </w:rPr>
        <w:t>ti</w:t>
      </w:r>
      <w:r>
        <w:rPr/>
        <w:t>cados no mercado ou de fato que eleve o custo dos bens, das obras ou dos serviços registrados, nas seguintes situações:</w:t>
      </w:r>
    </w:p>
    <w:p>
      <w:pPr>
        <w:pStyle w:val="Nvel3"/>
        <w:numPr>
          <w:ilvl w:val="2"/>
          <w:numId w:val="1"/>
        </w:numPr>
        <w:ind w:hanging="0" w:left="284"/>
        <w:rPr/>
      </w:pPr>
      <w:r>
        <w:rPr/>
        <w:t>E</w:t>
      </w:r>
      <w:commentRangeStart w:id="3"/>
      <w:r>
        <w:rPr/>
        <w:t>m caso de força maior, caso fortuito ou fato do príncipe ou em decorrência de fatos imprevisíveis ou previsíveis de consequências incalculáveis, que inviabilizem a execução da ata tal como pactuada, nos termos da alínea “d” do inciso II do caput do art. 124 da Lei nº 14.133, de 2021</w:t>
      </w:r>
      <w:r>
        <w:rPr/>
      </w:r>
      <w:commentRangeEnd w:id="3"/>
      <w:r>
        <w:commentReference w:id="3"/>
      </w:r>
      <w:r>
        <w:rPr>
          <w:color w:val="0000EF"/>
        </w:rPr>
        <w:t>;</w:t>
      </w:r>
    </w:p>
    <w:p>
      <w:pPr>
        <w:pStyle w:val="Nvel3"/>
        <w:numPr>
          <w:ilvl w:val="2"/>
          <w:numId w:val="1"/>
        </w:numPr>
        <w:ind w:hanging="0" w:left="284"/>
        <w:rPr/>
      </w:pPr>
      <w:r>
        <w:rPr/>
        <w:t>Em caso de criação, alteração ou ex</w:t>
      </w:r>
      <w:r>
        <w:rPr>
          <w:rFonts w:eastAsia="Calibri"/>
        </w:rPr>
        <w:t>ti</w:t>
      </w:r>
      <w:r>
        <w:rPr/>
        <w:t xml:space="preserve">nção de quaisquer tributos ou encargos legais ou a superveniência de disposições legais, com comprovada repercussão sobre os preços registrados; </w:t>
      </w:r>
    </w:p>
    <w:p>
      <w:pPr>
        <w:pStyle w:val="Nvel3"/>
        <w:numPr>
          <w:ilvl w:val="2"/>
          <w:numId w:val="1"/>
        </w:numPr>
        <w:ind w:hanging="0" w:left="284"/>
        <w:rPr/>
      </w:pPr>
      <w:r>
        <w:rPr/>
        <w:t>Na hipótese de previsão no edital ou no aviso de contratação direta de cláusula de reajustamento ou repactuação sobre os preços registrados, nos termos da Lei nº 14.133, de 2021.</w:t>
      </w:r>
    </w:p>
    <w:p>
      <w:pPr>
        <w:pStyle w:val="Nvel4"/>
        <w:numPr>
          <w:ilvl w:val="3"/>
          <w:numId w:val="1"/>
        </w:numPr>
        <w:ind w:hanging="0" w:left="567"/>
        <w:rPr/>
      </w:pPr>
      <w:r>
        <w:rPr/>
        <w:t xml:space="preserve">No caso do reajustamento, deverá ser respeitada a contagem da anualidade e o índice previstos para a contratação;  </w:t>
      </w:r>
    </w:p>
    <w:p>
      <w:pPr>
        <w:pStyle w:val="Nvel4"/>
        <w:numPr>
          <w:ilvl w:val="3"/>
          <w:numId w:val="1"/>
        </w:numPr>
        <w:ind w:hanging="0" w:left="567"/>
        <w:rPr/>
      </w:pPr>
      <w:r>
        <w:rPr/>
        <w:t>No caso da repactuação, poderá ser a pedido do interessado, conforme critérios definidos para a contratação.</w:t>
      </w:r>
    </w:p>
    <w:p>
      <w:pPr>
        <w:pStyle w:val="Nivel01"/>
        <w:numPr>
          <w:ilvl w:val="0"/>
          <w:numId w:val="1"/>
        </w:numPr>
        <w:ind w:hanging="0" w:left="0"/>
        <w:rPr/>
      </w:pPr>
      <w:r>
        <w:rPr/>
        <w:t>NEGOCIAÇÃO DE PREÇOS REGISTRADOS</w:t>
      </w:r>
    </w:p>
    <w:p>
      <w:pPr>
        <w:pStyle w:val="Nivel2"/>
        <w:numPr>
          <w:ilvl w:val="1"/>
          <w:numId w:val="1"/>
        </w:numPr>
        <w:ind w:hanging="0" w:left="0"/>
        <w:rPr/>
      </w:pPr>
      <w:r>
        <w:rPr/>
        <w:t>Na hipótese de o preço registrado tornar-se superior ao preço pra</w:t>
      </w:r>
      <w:r>
        <w:rPr>
          <w:rFonts w:eastAsia="Calibri"/>
        </w:rPr>
        <w:t>ti</w:t>
      </w:r>
      <w:r>
        <w:rPr/>
        <w:t>cado no mercado por mo</w:t>
      </w:r>
      <w:r>
        <w:rPr>
          <w:rFonts w:eastAsia="Calibri"/>
        </w:rPr>
        <w:t>ti</w:t>
      </w:r>
      <w:r>
        <w:rPr/>
        <w:t>vo superveniente, o órgão ou en</w:t>
      </w:r>
      <w:r>
        <w:rPr>
          <w:rFonts w:eastAsia="Calibri"/>
        </w:rPr>
        <w:t>ti</w:t>
      </w:r>
      <w:r>
        <w:rPr/>
        <w:t>dade gerenciadora convocará o fornecedor para negociar a redução do preço registrado.</w:t>
      </w:r>
    </w:p>
    <w:p>
      <w:pPr>
        <w:pStyle w:val="Nvel3"/>
        <w:numPr>
          <w:ilvl w:val="2"/>
          <w:numId w:val="1"/>
        </w:numPr>
        <w:ind w:hanging="0" w:left="284"/>
        <w:rPr/>
      </w:pPr>
      <w:r>
        <w:rPr/>
        <w:t>Caso não aceite reduzir seu preço aos valores pra</w:t>
      </w:r>
      <w:r>
        <w:rPr>
          <w:rFonts w:eastAsia="Calibri"/>
        </w:rPr>
        <w:t>ti</w:t>
      </w:r>
      <w:r>
        <w:rPr/>
        <w:t>cados pelo mercado, o fornecedor será liberado do compromisso assumido quanto ao item registrado, sem aplicação de penalidades administrativas.</w:t>
      </w:r>
    </w:p>
    <w:p>
      <w:pPr>
        <w:pStyle w:val="Nvel3"/>
        <w:numPr>
          <w:ilvl w:val="2"/>
          <w:numId w:val="1"/>
        </w:numPr>
        <w:ind w:hanging="0" w:left="284"/>
        <w:rPr/>
      </w:pPr>
      <w:r>
        <w:rPr/>
        <w:t>Na hipótese prevista no item anterior, o gerenciador convocará os fornecedores do cadastro de reserva, na ordem de classificação, para verificar se aceitam reduzir seus preços aos valores de mercado e não convocará o</w:t>
      </w:r>
      <w:commentRangeStart w:id="4"/>
      <w:r>
        <w:rPr/>
        <w:t>s licitantes ou fornecedores que tiveram seu registro cancelado.</w:t>
      </w:r>
      <w:r>
        <w:rPr/>
      </w:r>
      <w:commentRangeEnd w:id="4"/>
      <w:r>
        <w:commentReference w:id="4"/>
      </w:r>
      <w:r>
        <w:rPr/>
        <w:t xml:space="preserve"> </w:t>
      </w:r>
    </w:p>
    <w:p>
      <w:pPr>
        <w:pStyle w:val="Nvel3"/>
        <w:numPr>
          <w:ilvl w:val="2"/>
          <w:numId w:val="1"/>
        </w:numPr>
        <w:ind w:hanging="0" w:left="284"/>
        <w:rPr/>
      </w:pPr>
      <w:r>
        <w:rPr/>
        <w:t>Se não obtiver êxito nas negociações, o órgão ou en</w:t>
      </w:r>
      <w:r>
        <w:rPr>
          <w:rFonts w:eastAsia="Calibri"/>
        </w:rPr>
        <w:t>tid</w:t>
      </w:r>
      <w:r>
        <w:rPr/>
        <w:t>ade gerenciadora procederá ao cancelamento da ata de registro de preços, adotando as medidas cabíveis para obtenção de contratação mais vantajosa.</w:t>
      </w:r>
      <w:bookmarkStart w:id="1" w:name="reducao_preco_mercado_negociacao_frustra"/>
      <w:bookmarkEnd w:id="1"/>
    </w:p>
    <w:p>
      <w:pPr>
        <w:pStyle w:val="Nvel3"/>
        <w:numPr>
          <w:ilvl w:val="2"/>
          <w:numId w:val="1"/>
        </w:numPr>
        <w:ind w:hanging="0" w:left="284"/>
        <w:rPr/>
      </w:pPr>
      <w:r>
        <w:rPr>
          <w:rFonts w:cs="Calibri" w:ascii="Calibri" w:hAnsi="Calibri"/>
        </w:rPr>
        <w:t>Na hipótese de</w:t>
      </w:r>
      <w:r>
        <w:rPr/>
        <w:t xml:space="preserve"> redução do preço registrado, o gerenciador comunicará aos órgãos e às en</w:t>
      </w:r>
      <w:r>
        <w:rPr>
          <w:rFonts w:eastAsia="Calibri"/>
        </w:rPr>
        <w:t>ti</w:t>
      </w:r>
      <w:r>
        <w:rPr/>
        <w:t xml:space="preserve">dades que </w:t>
      </w:r>
      <w:r>
        <w:rPr>
          <w:rFonts w:eastAsia="Calibri"/>
        </w:rPr>
        <w:t>ti</w:t>
      </w:r>
      <w:r>
        <w:rPr/>
        <w:t>verem firmado contratos decorrentes da ata de registro de preços para que avaliem a conveniência e a oportunidade de diligenciarem negociação com vistas à alteração contratual, observado o disposto no art. 124 da Lei nº 14.133, de 2021.</w:t>
      </w:r>
    </w:p>
    <w:p>
      <w:pPr>
        <w:pStyle w:val="Nivel2"/>
        <w:numPr>
          <w:ilvl w:val="1"/>
          <w:numId w:val="1"/>
        </w:numPr>
        <w:ind w:hanging="0" w:left="0"/>
        <w:rPr/>
      </w:pPr>
      <w:r>
        <w:rPr/>
        <w:t>Na hipótese de o preço de mercado tornar-se superior ao preço registrado e o fornecedor não poder cumprir as obrigações estabelecidas na ata, será facultado ao fornecedor requerer ao gerenciador a alteração do preço registrado, mediante comprovação de fato superveniente que supostamente o impossibilite de cumprir o compromisso.</w:t>
      </w:r>
      <w:bookmarkStart w:id="2" w:name="hipotese_preco_mercado_maior"/>
      <w:bookmarkEnd w:id="2"/>
    </w:p>
    <w:p>
      <w:pPr>
        <w:pStyle w:val="Nvel3"/>
        <w:numPr>
          <w:ilvl w:val="2"/>
          <w:numId w:val="1"/>
        </w:numPr>
        <w:ind w:hanging="0" w:left="284"/>
        <w:rPr/>
      </w:pPr>
      <w:r>
        <w:rPr/>
        <w:t>Neste caso, o fornecedor encaminhará, juntamente com o pedido de alteração, a documentação comprobatória ou a planilha de custos que demonstre a inviabilidade do preço registrado em relação às condições inicialmente pactuadas.</w:t>
      </w:r>
      <w:bookmarkStart w:id="3" w:name="prova_preco_mercado_maior"/>
      <w:bookmarkEnd w:id="3"/>
    </w:p>
    <w:p>
      <w:pPr>
        <w:pStyle w:val="Nvel3"/>
        <w:numPr>
          <w:ilvl w:val="2"/>
          <w:numId w:val="1"/>
        </w:numPr>
        <w:ind w:hanging="0" w:left="284"/>
        <w:rPr/>
      </w:pPr>
      <w:r>
        <w:rPr/>
        <w:t>Na hipótese de não comprovação da existência de fato superveniente que inviabilize o preço registrado, o pedido será indeferido pelo órgão ou en</w:t>
      </w:r>
      <w:r>
        <w:rPr>
          <w:rFonts w:eastAsia="Calibri"/>
        </w:rPr>
        <w:t>ti</w:t>
      </w:r>
      <w:r>
        <w:rPr/>
        <w:t xml:space="preserve">dade gerenciadora e o fornecedor deverá cumprir as obrigações estabelecidas na ata, sob pena de cancelamento do seu registro, nos termos do item </w:t>
      </w:r>
      <w:r>
        <w:rPr/>
        <w:fldChar w:fldCharType="begin"/>
      </w:r>
      <w:r>
        <w:rPr/>
        <w:instrText xml:space="preserve"> REF cancelamento_do_fornecedor \r \r \h </w:instrText>
      </w:r>
      <w:r>
        <w:rPr/>
        <w:fldChar w:fldCharType="separate"/>
      </w:r>
      <w:r>
        <w:rPr/>
        <w:t>9.1</w:t>
      </w:r>
      <w:r>
        <w:rPr/>
        <w:fldChar w:fldCharType="end"/>
      </w:r>
      <w:r>
        <w:rPr/>
        <w:t>, sem prejuízo das sanções previstas na Lei nº 14.133, de 2021, e na legislação aplicável.</w:t>
      </w:r>
    </w:p>
    <w:p>
      <w:pPr>
        <w:pStyle w:val="Nvel3"/>
        <w:numPr>
          <w:ilvl w:val="2"/>
          <w:numId w:val="1"/>
        </w:numPr>
        <w:ind w:hanging="0" w:left="284"/>
        <w:rPr/>
      </w:pPr>
      <w:r>
        <w:rPr/>
        <w:t>Na hipótese de cancelamento do registro do fornecedor, nos termos do item anterior, o gerenciador convocará os fornecedores do cadastro de reserva, na ordem de classificação, para verificar se aceitam manter seus preços registrados, observado o disposto no item 5.7.</w:t>
      </w:r>
    </w:p>
    <w:p>
      <w:pPr>
        <w:pStyle w:val="Nvel3"/>
        <w:numPr>
          <w:ilvl w:val="2"/>
          <w:numId w:val="1"/>
        </w:numPr>
        <w:ind w:hanging="0" w:left="284"/>
        <w:rPr/>
      </w:pPr>
      <w:r>
        <w:rPr/>
        <w:t xml:space="preserve">Se não obtiver êxito nas negociações, o órgão ou entidade gerenciadora procederá ao cancelamento da ata de registro de preços, nos termos do item </w:t>
      </w:r>
      <w:r>
        <w:rPr/>
        <w:fldChar w:fldCharType="begin"/>
      </w:r>
      <w:r>
        <w:rPr/>
        <w:instrText xml:space="preserve"> REF cancelamento_da_ata \r \r \h </w:instrText>
      </w:r>
      <w:r>
        <w:rPr/>
        <w:fldChar w:fldCharType="separate"/>
      </w:r>
      <w:r>
        <w:rPr/>
        <w:t>9.4</w:t>
      </w:r>
      <w:r>
        <w:rPr/>
        <w:fldChar w:fldCharType="end"/>
      </w:r>
      <w:r>
        <w:rPr/>
        <w:t>, e adotará as medidas cabíveis para a obtenção da contratação mais vantajosa.</w:t>
      </w:r>
    </w:p>
    <w:p>
      <w:pPr>
        <w:pStyle w:val="Nvel3"/>
        <w:numPr>
          <w:ilvl w:val="2"/>
          <w:numId w:val="1"/>
        </w:numPr>
        <w:ind w:hanging="0" w:left="284"/>
        <w:rPr/>
      </w:pPr>
      <w:r>
        <w:rPr/>
        <w:t xml:space="preserve">Na hipótese de comprovação da majoração do preço de mercado que inviabilize o preço registrado, conforme previsto no item </w:t>
      </w:r>
      <w:r>
        <w:rPr/>
        <w:fldChar w:fldCharType="begin"/>
      </w:r>
      <w:r>
        <w:rPr/>
        <w:instrText xml:space="preserve"> REF hipotese_preco_mercado_maior \r \r \h </w:instrText>
      </w:r>
      <w:r>
        <w:rPr/>
        <w:fldChar w:fldCharType="separate"/>
      </w:r>
      <w:r>
        <w:rPr/>
        <w:t>7.2</w:t>
      </w:r>
      <w:r>
        <w:rPr/>
        <w:fldChar w:fldCharType="end"/>
      </w:r>
      <w:r>
        <w:rPr/>
        <w:t xml:space="preserve"> e no item </w:t>
      </w:r>
      <w:r>
        <w:rPr/>
        <w:fldChar w:fldCharType="begin"/>
      </w:r>
      <w:r>
        <w:rPr/>
        <w:instrText xml:space="preserve"> REF prova_preco_mercado_maior \r \r \h </w:instrText>
      </w:r>
      <w:r>
        <w:rPr/>
        <w:fldChar w:fldCharType="separate"/>
      </w:r>
      <w:r>
        <w:rPr/>
        <w:t>7.2.1</w:t>
      </w:r>
      <w:r>
        <w:rPr/>
        <w:fldChar w:fldCharType="end"/>
      </w:r>
      <w:r>
        <w:rPr/>
        <w:t>, o órgão ou en</w:t>
      </w:r>
      <w:r>
        <w:rPr>
          <w:rFonts w:eastAsia="Calibri"/>
        </w:rPr>
        <w:t>ti</w:t>
      </w:r>
      <w:r>
        <w:rPr/>
        <w:t>dade gerenciadora atualizará o preço registrado, de acordo com a realidade dos valores praticados pelo mercado.</w:t>
      </w:r>
    </w:p>
    <w:p>
      <w:pPr>
        <w:pStyle w:val="Nvel3"/>
        <w:numPr>
          <w:ilvl w:val="2"/>
          <w:numId w:val="1"/>
        </w:numPr>
        <w:ind w:hanging="0" w:left="284"/>
        <w:rPr/>
      </w:pPr>
      <w:r>
        <w:rPr/>
        <w:t xml:space="preserve"> </w:t>
      </w:r>
      <w:r>
        <w:rPr/>
        <w:t>O órgão ou en</w:t>
      </w:r>
      <w:r>
        <w:rPr>
          <w:rFonts w:eastAsia="Calibri"/>
        </w:rPr>
        <w:t>ti</w:t>
      </w:r>
      <w:r>
        <w:rPr/>
        <w:t>dade gerenciadora comunicará aos órgãos e às en</w:t>
      </w:r>
      <w:r>
        <w:rPr>
          <w:rFonts w:eastAsia="Calibri"/>
        </w:rPr>
        <w:t>ti</w:t>
      </w:r>
      <w:r>
        <w:rPr/>
        <w:t xml:space="preserve">dades que </w:t>
      </w:r>
      <w:r>
        <w:rPr>
          <w:rFonts w:eastAsia="Calibri"/>
        </w:rPr>
        <w:t>ti</w:t>
      </w:r>
      <w:r>
        <w:rPr/>
        <w:t>verem firmado contratos decorrentes da ata de registro de preços sobre a efe</w:t>
      </w:r>
      <w:r>
        <w:rPr>
          <w:rFonts w:eastAsia="Calibri"/>
        </w:rPr>
        <w:t>ti</w:t>
      </w:r>
      <w:r>
        <w:rPr/>
        <w:t>va alteração do preço registrado, para que avaliem a necessidade de alteração contratual, observado o disposto no art. 124 da Lei nº 14.133, de 2021.</w:t>
      </w:r>
    </w:p>
    <w:p>
      <w:pPr>
        <w:pStyle w:val="Nivel01"/>
        <w:numPr>
          <w:ilvl w:val="0"/>
          <w:numId w:val="1"/>
        </w:numPr>
        <w:ind w:hanging="0" w:left="0"/>
        <w:rPr/>
      </w:pPr>
      <w:commentRangeStart w:id="5"/>
      <w:r>
        <w:rPr/>
        <w:t>REMANEJAMENTO DAS QUANTIDADES REGISTRADAS NA ATA DE REGISTRO DE PREÇOS</w:t>
      </w:r>
      <w:commentRangeEnd w:id="5"/>
      <w:r>
        <w:commentReference w:id="5"/>
      </w:r>
      <w:r>
        <w:rPr/>
      </w:r>
    </w:p>
    <w:p>
      <w:pPr>
        <w:pStyle w:val="Nivel2"/>
        <w:numPr>
          <w:ilvl w:val="1"/>
          <w:numId w:val="1"/>
        </w:numPr>
        <w:ind w:hanging="0" w:left="0"/>
        <w:rPr/>
      </w:pPr>
      <w:r>
        <w:rPr/>
        <w:t xml:space="preserve"> </w:t>
      </w:r>
      <w:r>
        <w:rPr/>
        <w:t>As quan</w:t>
      </w:r>
      <w:r>
        <w:rPr>
          <w:rFonts w:eastAsia="Arial"/>
        </w:rPr>
        <w:t>ti</w:t>
      </w:r>
      <w:r>
        <w:rPr/>
        <w:t>dades previstas para os itens com preços registrados nas atas de registro de preços poderão ser remanejadas pelo órgão ou en</w:t>
      </w:r>
      <w:r>
        <w:rPr>
          <w:rFonts w:eastAsia="Arial"/>
        </w:rPr>
        <w:t>ti</w:t>
      </w:r>
      <w:r>
        <w:rPr/>
        <w:t>dade gerenciadora entre os órgãos ou as en</w:t>
      </w:r>
      <w:r>
        <w:rPr>
          <w:rFonts w:eastAsia="Arial"/>
        </w:rPr>
        <w:t>ti</w:t>
      </w:r>
      <w:r>
        <w:rPr/>
        <w:t>dades par</w:t>
      </w:r>
      <w:r>
        <w:rPr>
          <w:rFonts w:eastAsia="Arial"/>
        </w:rPr>
        <w:t>ti</w:t>
      </w:r>
      <w:r>
        <w:rPr/>
        <w:t>cipantes e não par</w:t>
      </w:r>
      <w:r>
        <w:rPr>
          <w:rFonts w:eastAsia="Arial"/>
        </w:rPr>
        <w:t>ti</w:t>
      </w:r>
      <w:r>
        <w:rPr/>
        <w:t>cipantes do registro de preços.</w:t>
      </w:r>
    </w:p>
    <w:p>
      <w:pPr>
        <w:pStyle w:val="Nivel2"/>
        <w:numPr>
          <w:ilvl w:val="1"/>
          <w:numId w:val="1"/>
        </w:numPr>
        <w:ind w:hanging="0" w:left="0"/>
        <w:rPr/>
      </w:pPr>
      <w:r>
        <w:rPr/>
        <w:t xml:space="preserve"> </w:t>
      </w:r>
      <w:r>
        <w:rPr/>
        <w:t>O remanejamento somente poderá ser feito:</w:t>
      </w:r>
    </w:p>
    <w:p>
      <w:pPr>
        <w:pStyle w:val="Nvel3"/>
        <w:numPr>
          <w:ilvl w:val="2"/>
          <w:numId w:val="1"/>
        </w:numPr>
        <w:ind w:hanging="0" w:left="284"/>
        <w:rPr/>
      </w:pPr>
      <w:r>
        <w:rPr/>
        <w:t>De órgão ou en</w:t>
      </w:r>
      <w:r>
        <w:rPr>
          <w:rFonts w:eastAsia="Arial"/>
        </w:rPr>
        <w:t>ti</w:t>
      </w:r>
      <w:r>
        <w:rPr/>
        <w:t>dade par</w:t>
      </w:r>
      <w:r>
        <w:rPr>
          <w:rFonts w:eastAsia="Arial"/>
        </w:rPr>
        <w:t>ti</w:t>
      </w:r>
      <w:r>
        <w:rPr/>
        <w:t>cipante para órgão ou en</w:t>
      </w:r>
      <w:r>
        <w:rPr>
          <w:rFonts w:eastAsia="Arial"/>
        </w:rPr>
        <w:t>ti</w:t>
      </w:r>
      <w:r>
        <w:rPr/>
        <w:t>dade par</w:t>
      </w:r>
      <w:r>
        <w:rPr>
          <w:rFonts w:eastAsia="Arial"/>
        </w:rPr>
        <w:t>ti</w:t>
      </w:r>
      <w:r>
        <w:rPr/>
        <w:t>cipante; ou</w:t>
      </w:r>
    </w:p>
    <w:p>
      <w:pPr>
        <w:pStyle w:val="Nvel3"/>
        <w:numPr>
          <w:ilvl w:val="2"/>
          <w:numId w:val="1"/>
        </w:numPr>
        <w:ind w:hanging="0" w:left="284"/>
        <w:rPr/>
      </w:pPr>
      <w:r>
        <w:rPr/>
        <w:t>De órgão ou en</w:t>
      </w:r>
      <w:r>
        <w:rPr>
          <w:rFonts w:eastAsia="Arial"/>
        </w:rPr>
        <w:t>ti</w:t>
      </w:r>
      <w:r>
        <w:rPr/>
        <w:t>dade par</w:t>
      </w:r>
      <w:r>
        <w:rPr>
          <w:rFonts w:eastAsia="Arial"/>
        </w:rPr>
        <w:t>ti</w:t>
      </w:r>
      <w:r>
        <w:rPr/>
        <w:t>cipante para órgão ou entidade não participante.</w:t>
      </w:r>
    </w:p>
    <w:p>
      <w:pPr>
        <w:pStyle w:val="Nivel2"/>
        <w:numPr>
          <w:ilvl w:val="1"/>
          <w:numId w:val="1"/>
        </w:numPr>
        <w:ind w:hanging="0" w:left="0"/>
        <w:rPr/>
      </w:pPr>
      <w:r>
        <w:rPr/>
        <w:t>O órgão ou en</w:t>
      </w:r>
      <w:r>
        <w:rPr>
          <w:rFonts w:eastAsia="Arial"/>
        </w:rPr>
        <w:t>ti</w:t>
      </w:r>
      <w:r>
        <w:rPr/>
        <w:t>dade gerenciadora que tiver es</w:t>
      </w:r>
      <w:r>
        <w:rPr>
          <w:rFonts w:eastAsia="Arial"/>
        </w:rPr>
        <w:t>ti</w:t>
      </w:r>
      <w:r>
        <w:rPr/>
        <w:t>mado as quan</w:t>
      </w:r>
      <w:r>
        <w:rPr>
          <w:rFonts w:eastAsia="Arial"/>
        </w:rPr>
        <w:t>ti</w:t>
      </w:r>
      <w:r>
        <w:rPr/>
        <w:t>dades que pretende contratar será considerado participante para efeito do remanejamento.</w:t>
      </w:r>
      <w:bookmarkStart w:id="4" w:name="gerenciador_estimador_é_partic_em_remane"/>
      <w:bookmarkEnd w:id="4"/>
    </w:p>
    <w:p>
      <w:pPr>
        <w:pStyle w:val="Nivel2"/>
        <w:numPr>
          <w:ilvl w:val="1"/>
          <w:numId w:val="1"/>
        </w:numPr>
        <w:ind w:hanging="0" w:left="0"/>
        <w:rPr/>
      </w:pPr>
      <w:r>
        <w:rPr/>
        <w:t>Na hipótese de remanejamento de órgão ou entidade par</w:t>
      </w:r>
      <w:r>
        <w:rPr>
          <w:rFonts w:eastAsia="Arial"/>
        </w:rPr>
        <w:t>ti</w:t>
      </w:r>
      <w:r>
        <w:rPr/>
        <w:t xml:space="preserve">cipante para órgão ou entidade não participante, serão observados os limites previstos no </w:t>
      </w:r>
      <w:commentRangeStart w:id="6"/>
      <w:r>
        <w:rPr/>
        <w:t>art. 32 do Decreto nº 11.462, de 2023</w:t>
      </w:r>
      <w:r>
        <w:rPr/>
      </w:r>
      <w:commentRangeEnd w:id="6"/>
      <w:r>
        <w:commentReference w:id="6"/>
      </w:r>
      <w:r>
        <w:rPr/>
        <w:t>.</w:t>
      </w:r>
    </w:p>
    <w:p>
      <w:pPr>
        <w:pStyle w:val="Nivel2"/>
        <w:numPr>
          <w:ilvl w:val="1"/>
          <w:numId w:val="1"/>
        </w:numPr>
        <w:ind w:hanging="0" w:left="0"/>
        <w:rPr/>
      </w:pPr>
      <w:r>
        <w:rPr/>
        <w:t>Competirá ao órgão ou à en</w:t>
      </w:r>
      <w:r>
        <w:rPr>
          <w:rFonts w:eastAsia="Arial"/>
        </w:rPr>
        <w:t>ti</w:t>
      </w:r>
      <w:r>
        <w:rPr/>
        <w:t>dade gerenciadora autorizar o remanejamento solicitado, com a redução do quan</w:t>
      </w:r>
      <w:r>
        <w:rPr>
          <w:rFonts w:eastAsia="Arial"/>
        </w:rPr>
        <w:t>ti</w:t>
      </w:r>
      <w:r>
        <w:rPr/>
        <w:t>ta</w:t>
      </w:r>
      <w:r>
        <w:rPr>
          <w:rFonts w:eastAsia="Arial"/>
        </w:rPr>
        <w:t>ti</w:t>
      </w:r>
      <w:r>
        <w:rPr/>
        <w:t>vo inicialmente informado pelo órgão ou pela en</w:t>
      </w:r>
      <w:r>
        <w:rPr>
          <w:rFonts w:eastAsia="Arial"/>
        </w:rPr>
        <w:t>ti</w:t>
      </w:r>
      <w:r>
        <w:rPr/>
        <w:t>dade par</w:t>
      </w:r>
      <w:r>
        <w:rPr>
          <w:rFonts w:eastAsia="Arial"/>
        </w:rPr>
        <w:t>ti</w:t>
      </w:r>
      <w:r>
        <w:rPr/>
        <w:t>cipante, desde que haja prévia anuência do órgão ou da en</w:t>
      </w:r>
      <w:r>
        <w:rPr>
          <w:rFonts w:eastAsia="Arial"/>
        </w:rPr>
        <w:t>ti</w:t>
      </w:r>
      <w:r>
        <w:rPr/>
        <w:t>dade que sofrer redução dos quantitativos informados.</w:t>
      </w:r>
    </w:p>
    <w:p>
      <w:pPr>
        <w:pStyle w:val="Nivel2"/>
        <w:numPr>
          <w:ilvl w:val="1"/>
          <w:numId w:val="1"/>
        </w:numPr>
        <w:ind w:hanging="0" w:left="0"/>
        <w:rPr/>
      </w:pPr>
      <w:r>
        <w:rPr/>
        <w:t>Caso o remanejamento seja feito entre órgãos ou en</w:t>
      </w:r>
      <w:r>
        <w:rPr>
          <w:rFonts w:eastAsia="Arial"/>
        </w:rPr>
        <w:t>ti</w:t>
      </w:r>
      <w:r>
        <w:rPr/>
        <w:t>dades dos Estados, do Distrito Federal ou de Municípios dis</w:t>
      </w:r>
      <w:r>
        <w:rPr>
          <w:rFonts w:eastAsia="Arial"/>
        </w:rPr>
        <w:t>ti</w:t>
      </w:r>
      <w:r>
        <w:rPr/>
        <w:t>ntos, caberá ao fornecedor beneficiário da ata de registro de preços, observadas as condições nela estabelecidas, optar pela aceitação ou não do fornecimento decorrente do remanejamento dos itens.</w:t>
      </w:r>
    </w:p>
    <w:p>
      <w:pPr>
        <w:pStyle w:val="Nivel2"/>
        <w:numPr>
          <w:ilvl w:val="1"/>
          <w:numId w:val="1"/>
        </w:numPr>
        <w:ind w:hanging="0" w:left="0"/>
        <w:rPr/>
      </w:pPr>
      <w:r>
        <w:rPr/>
        <w:t>Na hipótese da compra centralizada, não havendo indicação pelo órgão ou pela en</w:t>
      </w:r>
      <w:r>
        <w:rPr>
          <w:rFonts w:eastAsia="Arial"/>
        </w:rPr>
        <w:t>ti</w:t>
      </w:r>
      <w:r>
        <w:rPr/>
        <w:t>dade gerenciadora, dos quan</w:t>
      </w:r>
      <w:r>
        <w:rPr>
          <w:rFonts w:eastAsia="Arial"/>
        </w:rPr>
        <w:t>ti</w:t>
      </w:r>
      <w:r>
        <w:rPr/>
        <w:t>ta</w:t>
      </w:r>
      <w:r>
        <w:rPr>
          <w:rFonts w:eastAsia="Arial"/>
        </w:rPr>
        <w:t>ti</w:t>
      </w:r>
      <w:r>
        <w:rPr/>
        <w:t>vos dos par</w:t>
      </w:r>
      <w:r>
        <w:rPr>
          <w:rFonts w:eastAsia="Arial"/>
        </w:rPr>
        <w:t>ti</w:t>
      </w:r>
      <w:r>
        <w:rPr/>
        <w:t xml:space="preserve">cipantes da compra centralizada, nos termos do item </w:t>
      </w:r>
      <w:r>
        <w:rPr/>
        <w:fldChar w:fldCharType="begin"/>
      </w:r>
      <w:r>
        <w:rPr/>
        <w:instrText xml:space="preserve"> REF gerenciador_estimador_é_partic_em_remane \r \r \h </w:instrText>
      </w:r>
      <w:r>
        <w:rPr/>
        <w:fldChar w:fldCharType="separate"/>
      </w:r>
      <w:r>
        <w:rPr/>
        <w:t>8.3</w:t>
      </w:r>
      <w:r>
        <w:rPr/>
        <w:fldChar w:fldCharType="end"/>
      </w:r>
      <w:r>
        <w:rPr/>
        <w:t>, a distribuição das quantidades para a execução descentralizada será por meio do remanejamento.</w:t>
      </w:r>
    </w:p>
    <w:p>
      <w:pPr>
        <w:pStyle w:val="Nivel01"/>
        <w:numPr>
          <w:ilvl w:val="0"/>
          <w:numId w:val="1"/>
        </w:numPr>
        <w:ind w:hanging="0" w:left="0"/>
        <w:rPr>
          <w:iCs/>
        </w:rPr>
      </w:pPr>
      <w:r>
        <w:rPr/>
        <w:t>CANCELAMENTO DO REGISTRO DO LICITANTE VENCEDOR E DOS PREÇOS REGISTRADOS</w:t>
      </w:r>
      <w:bookmarkStart w:id="5" w:name="cancelamento"/>
      <w:bookmarkEnd w:id="5"/>
    </w:p>
    <w:p>
      <w:pPr>
        <w:pStyle w:val="Nivel2"/>
        <w:numPr>
          <w:ilvl w:val="1"/>
          <w:numId w:val="1"/>
        </w:numPr>
        <w:ind w:hanging="0" w:left="0"/>
        <w:rPr/>
      </w:pPr>
      <w:r>
        <w:rPr/>
        <w:t>O registro do fornecedor será cancelado pelo gerenciador, quando o fornecedor:</w:t>
      </w:r>
      <w:bookmarkStart w:id="6" w:name="cancelamento_do_fornecedor"/>
      <w:bookmarkEnd w:id="6"/>
    </w:p>
    <w:p>
      <w:pPr>
        <w:pStyle w:val="Nvel3"/>
        <w:numPr>
          <w:ilvl w:val="2"/>
          <w:numId w:val="1"/>
        </w:numPr>
        <w:ind w:hanging="0" w:left="284"/>
        <w:rPr/>
      </w:pPr>
      <w:r>
        <w:rPr/>
        <w:t>Descumprir as condições da ata de registro de preços, sem motivo justificado;</w:t>
      </w:r>
    </w:p>
    <w:p>
      <w:pPr>
        <w:pStyle w:val="Nvel3"/>
        <w:numPr>
          <w:ilvl w:val="2"/>
          <w:numId w:val="1"/>
        </w:numPr>
        <w:ind w:hanging="0" w:left="284"/>
        <w:rPr/>
      </w:pPr>
      <w:r>
        <w:rPr/>
        <w:t>Não re</w:t>
      </w:r>
      <w:r>
        <w:rPr>
          <w:rFonts w:eastAsia="Arial"/>
        </w:rPr>
        <w:t>ti</w:t>
      </w:r>
      <w:r>
        <w:rPr/>
        <w:t>rar a nota de empenho, ou instrumento equivalente, no prazo estabelecido pela Administração sem justificativa razoável;</w:t>
      </w:r>
    </w:p>
    <w:p>
      <w:pPr>
        <w:pStyle w:val="Nvel3"/>
        <w:numPr>
          <w:ilvl w:val="2"/>
          <w:numId w:val="1"/>
        </w:numPr>
        <w:ind w:hanging="0" w:left="284"/>
        <w:rPr/>
      </w:pPr>
      <w:r>
        <w:rPr/>
        <w:t>Não aceitar manter seu preço registrado, na hipótese prevista no artigo 27, § 2º, do Decreto nº 11.462, de 2023; ou</w:t>
      </w:r>
    </w:p>
    <w:p>
      <w:pPr>
        <w:pStyle w:val="Nvel3"/>
        <w:numPr>
          <w:ilvl w:val="2"/>
          <w:numId w:val="1"/>
        </w:numPr>
        <w:ind w:hanging="0" w:left="284"/>
        <w:rPr/>
      </w:pPr>
      <w:r>
        <w:rPr/>
        <w:t xml:space="preserve"> </w:t>
      </w:r>
      <w:r>
        <w:rPr/>
        <w:t>Sofrer sanção prevista nos incisos III ou IV do caput do art. 156 da Lei nº 14.133, de 2021.</w:t>
      </w:r>
    </w:p>
    <w:p>
      <w:pPr>
        <w:pStyle w:val="Nvel4"/>
        <w:numPr>
          <w:ilvl w:val="3"/>
          <w:numId w:val="1"/>
        </w:numPr>
        <w:ind w:hanging="0" w:left="567"/>
        <w:rPr/>
      </w:pPr>
      <w:r>
        <w:rPr/>
        <w:t>Na hipótese de aplicação de sanção prevista nos incisos III ou IV do caput do art. 156 da Lei nº 14.133, de 2021, caso a penalidade aplicada ao fornecedor não ultrapasse o prazo de vigência da ata de registro de preços, poderá o órgão ou a entidade gerenciadora, mediante decisão fundamentada, decidir pela manutenção do registro de preços, vedadas contratações derivadas da ata enquanto perdurarem os efeitos da sanção.</w:t>
      </w:r>
    </w:p>
    <w:p>
      <w:pPr>
        <w:pStyle w:val="Nivel2"/>
        <w:numPr>
          <w:ilvl w:val="1"/>
          <w:numId w:val="1"/>
        </w:numPr>
        <w:ind w:hanging="0" w:left="0"/>
        <w:rPr/>
      </w:pPr>
      <w:r>
        <w:rPr/>
        <w:t xml:space="preserve"> </w:t>
      </w:r>
      <w:r>
        <w:rPr/>
        <w:t xml:space="preserve">O cancelamento de registros nas hipóteses previstas no item </w:t>
      </w:r>
      <w:r>
        <w:rPr/>
        <w:fldChar w:fldCharType="begin"/>
      </w:r>
      <w:r>
        <w:rPr/>
        <w:instrText xml:space="preserve"> REF cancelamento_do_fornecedor \r \r \h </w:instrText>
      </w:r>
      <w:r>
        <w:rPr/>
        <w:fldChar w:fldCharType="separate"/>
      </w:r>
      <w:r>
        <w:rPr/>
        <w:t>9.1</w:t>
      </w:r>
      <w:r>
        <w:rPr/>
        <w:fldChar w:fldCharType="end"/>
      </w:r>
      <w:r>
        <w:rPr/>
        <w:t xml:space="preserve"> será formalizado por despacho do órgão ou da entidade gerenciadora, garantidos os princípios do contraditório e da ampla defesa.</w:t>
      </w:r>
    </w:p>
    <w:p>
      <w:pPr>
        <w:pStyle w:val="Nivel2"/>
        <w:numPr>
          <w:ilvl w:val="1"/>
          <w:numId w:val="1"/>
        </w:numPr>
        <w:ind w:hanging="0" w:left="0"/>
        <w:rPr/>
      </w:pPr>
      <w:r>
        <w:rPr/>
        <w:t>Na hipótese de cancelamento do registro do fornecedor, o órgão ou a entidade gerenciadora poderá convocar os licitantes que compõem o cadastro de reserva, observada a ordem de classificação.</w:t>
      </w:r>
    </w:p>
    <w:p>
      <w:pPr>
        <w:pStyle w:val="Nivel2"/>
        <w:numPr>
          <w:ilvl w:val="1"/>
          <w:numId w:val="1"/>
        </w:numPr>
        <w:ind w:hanging="0" w:left="0"/>
        <w:rPr/>
      </w:pPr>
      <w:r>
        <w:rPr/>
        <w:t>O cancelamento dos preços registrados poderá ser realizado pelo gerenciador, em determinada ata de registro de preços, total ou parcialmente, nas seguintes hipóteses, desde que devidamente comprovadas e justificadas:</w:t>
      </w:r>
      <w:bookmarkStart w:id="7" w:name="cancelamento_da_ata"/>
      <w:bookmarkEnd w:id="7"/>
      <w:r>
        <w:rPr/>
        <w:t xml:space="preserve"> </w:t>
      </w:r>
    </w:p>
    <w:p>
      <w:pPr>
        <w:pStyle w:val="Nvel3"/>
        <w:numPr>
          <w:ilvl w:val="2"/>
          <w:numId w:val="1"/>
        </w:numPr>
        <w:ind w:hanging="0" w:left="284"/>
        <w:rPr/>
      </w:pPr>
      <w:r>
        <w:rPr/>
        <w:t>Por razão de interesse público;</w:t>
      </w:r>
    </w:p>
    <w:p>
      <w:pPr>
        <w:pStyle w:val="Nvel3"/>
        <w:numPr>
          <w:ilvl w:val="2"/>
          <w:numId w:val="1"/>
        </w:numPr>
        <w:ind w:hanging="0" w:left="284"/>
        <w:rPr/>
      </w:pPr>
      <w:r>
        <w:rPr/>
        <w:t>A pedido do fornecedor, decorrente de caso fortuito ou força maior; ou</w:t>
      </w:r>
    </w:p>
    <w:p>
      <w:pPr>
        <w:pStyle w:val="Nvel3"/>
        <w:numPr>
          <w:ilvl w:val="2"/>
          <w:numId w:val="1"/>
        </w:numPr>
        <w:ind w:hanging="0" w:left="284"/>
        <w:rPr/>
      </w:pPr>
      <w:r>
        <w:rPr/>
        <w:t xml:space="preserve">Se não houver êxito nas negociações, nas hipóteses em que o preço de mercado tornar-se superior ou inferior ao preço registrado, nos termos do artigos 26, § 3º e  27, § 4º, ambos do Decreto nº 11.462, de 2023. </w:t>
      </w:r>
    </w:p>
    <w:p>
      <w:pPr>
        <w:pStyle w:val="Nivel01"/>
        <w:numPr>
          <w:ilvl w:val="0"/>
          <w:numId w:val="1"/>
        </w:numPr>
        <w:ind w:hanging="0" w:left="0"/>
        <w:rPr/>
      </w:pPr>
      <w:r>
        <w:rPr/>
        <w:t>DAS PENALIDADES</w:t>
      </w:r>
    </w:p>
    <w:p>
      <w:pPr>
        <w:pStyle w:val="Nivel2"/>
        <w:numPr>
          <w:ilvl w:val="1"/>
          <w:numId w:val="1"/>
        </w:numPr>
        <w:ind w:hanging="0" w:left="0"/>
        <w:rPr/>
      </w:pPr>
      <w:r>
        <w:rPr/>
        <w:t xml:space="preserve">O descumprimento da Ata de Registro de Preços ensejará aplicação das penalidades </w:t>
      </w:r>
      <w:r>
        <w:rPr>
          <w:color w:val="000000"/>
        </w:rPr>
        <w:t xml:space="preserve">estabelecidas </w:t>
      </w:r>
      <w:r>
        <w:rPr>
          <w:iCs/>
          <w:color w:val="000000"/>
        </w:rPr>
        <w:t>no</w:t>
      </w:r>
      <w:r>
        <w:rPr>
          <w:i/>
          <w:color w:val="000000"/>
        </w:rPr>
        <w:t xml:space="preserve"> [edital].</w:t>
      </w:r>
    </w:p>
    <w:p>
      <w:pPr>
        <w:pStyle w:val="Nvel3"/>
        <w:numPr>
          <w:ilvl w:val="2"/>
          <w:numId w:val="1"/>
        </w:numPr>
        <w:ind w:hanging="0" w:left="284"/>
        <w:rPr/>
      </w:pPr>
      <w:r>
        <w:rPr/>
        <w:t xml:space="preserve">As sanções também se aplicam aos integrantes do cadastro de reserva no registro de preços que, convocados, não honrarem o compromisso assumido </w:t>
      </w:r>
      <w:commentRangeStart w:id="7"/>
      <w:r>
        <w:rPr/>
        <w:t>injustificadamente</w:t>
      </w:r>
      <w:r>
        <w:rPr/>
      </w:r>
      <w:commentRangeEnd w:id="7"/>
      <w:r>
        <w:commentReference w:id="7"/>
      </w:r>
      <w:r>
        <w:rPr/>
        <w:t xml:space="preserve"> após terem assinado a ata. </w:t>
      </w:r>
    </w:p>
    <w:p>
      <w:pPr>
        <w:pStyle w:val="Nivel2"/>
        <w:numPr>
          <w:ilvl w:val="1"/>
          <w:numId w:val="1"/>
        </w:numPr>
        <w:ind w:hanging="0" w:left="0"/>
        <w:rPr/>
      </w:pPr>
      <w:r>
        <w:rPr/>
        <w:t>É da competência do gerenciador a aplicação das penalidades decorrentes do descumprimento do pactuado nesta ata de registro de preço (art. 7º, XIV, do Decreto nº 11.462, de 2023), exceto nas hipóteses em que o descumprimento disser respeito às contratações dos órgãos ou entidade participante, caso no qual caberá ao respectivo órgão participante a aplicação da penalidade (art. 8º, IX, do Decreto nº 11.462, de 2023).</w:t>
      </w:r>
    </w:p>
    <w:p>
      <w:pPr>
        <w:pStyle w:val="Nivel2"/>
        <w:numPr>
          <w:ilvl w:val="1"/>
          <w:numId w:val="1"/>
        </w:numPr>
        <w:ind w:hanging="0" w:left="0"/>
        <w:rPr/>
      </w:pPr>
      <w:r>
        <w:rPr/>
        <w:t>O órgão ou entidade participante deverá comunicar ao órgão gerenciador qualquer das ocorrências previstas no item 9.1, dada a necessidade de instauração de procedimento para cancelamento do registro do fornecedor.</w:t>
      </w:r>
    </w:p>
    <w:p>
      <w:pPr>
        <w:pStyle w:val="Nivel01"/>
        <w:numPr>
          <w:ilvl w:val="0"/>
          <w:numId w:val="1"/>
        </w:numPr>
        <w:ind w:hanging="0" w:left="0"/>
        <w:rPr/>
      </w:pPr>
      <w:r>
        <w:rPr/>
        <w:t>CONDIÇÕES GERAIS</w:t>
      </w:r>
    </w:p>
    <w:p>
      <w:pPr>
        <w:pStyle w:val="Nivel2"/>
        <w:numPr>
          <w:ilvl w:val="1"/>
          <w:numId w:val="1"/>
        </w:numPr>
        <w:ind w:hanging="0" w:left="0"/>
        <w:rPr/>
      </w:pPr>
      <w:r>
        <w:rPr/>
        <w:t>As condições gerais de execução do objeto, tais como os prazos para entrega e recebimento, as obrigações da Administração e do fornecedor regis</w:t>
      </w:r>
      <w:r>
        <w:rPr>
          <w:color w:val="000000"/>
        </w:rPr>
        <w:t>trado, penalidades e demais condições do ajuste, encontram-se definidos no Termo de Referência, anexo ao</w:t>
      </w:r>
      <w:r>
        <w:rPr>
          <w:i/>
          <w:color w:val="000000"/>
        </w:rPr>
        <w:t xml:space="preserve"> [edital].</w:t>
      </w:r>
    </w:p>
    <w:p>
      <w:pPr>
        <w:pStyle w:val="Nvel2-Red"/>
        <w:numPr>
          <w:ilvl w:val="0"/>
          <w:numId w:val="0"/>
        </w:numPr>
        <w:ind w:hanging="0" w:left="0"/>
        <w:rPr/>
      </w:pPr>
      <w:r>
        <w:rPr/>
        <w:t>.</w:t>
      </w:r>
    </w:p>
    <w:p>
      <w:pPr>
        <w:pStyle w:val="Normal"/>
        <w:widowControl w:val="false"/>
        <w:spacing w:lineRule="auto" w:line="276" w:before="120" w:after="120"/>
        <w:jc w:val="both"/>
        <w:rPr>
          <w:rFonts w:ascii="Arial" w:hAnsi="Arial" w:cs="Arial"/>
          <w:i/>
          <w:i/>
          <w:iCs/>
          <w:color w:val="FF0000"/>
          <w:sz w:val="20"/>
          <w:szCs w:val="20"/>
        </w:rPr>
      </w:pPr>
      <w:r>
        <w:rPr>
          <w:rFonts w:cs="Arial" w:ascii="Arial" w:hAnsi="Arial"/>
          <w:i w:val="false"/>
          <w:iCs w:val="false"/>
          <w:color w:val="auto"/>
          <w:sz w:val="20"/>
          <w:szCs w:val="20"/>
        </w:rPr>
        <w:t>Para firmeza e validade do pactuado, a presente Ata foi lavrada em 02 (duas) vias de igual teor, que, depois de lida e achada em ordem, vai assinada pelas partes e encaminhada cópia aos demais órgãos participantes.</w:t>
      </w:r>
      <w:r>
        <w:rPr>
          <w:rFonts w:cs="Arial" w:ascii="Arial" w:hAnsi="Arial"/>
          <w:i/>
          <w:iCs/>
          <w:color w:val="FF0000"/>
          <w:sz w:val="20"/>
          <w:szCs w:val="20"/>
        </w:rPr>
        <w:t xml:space="preserve"> . </w:t>
      </w:r>
    </w:p>
    <w:p>
      <w:pPr>
        <w:pStyle w:val="Normal"/>
        <w:spacing w:lineRule="auto" w:line="276" w:before="240" w:after="240"/>
        <w:ind w:hanging="0" w:left="-57"/>
        <w:jc w:val="center"/>
        <w:rPr>
          <w:highlight w:val="none"/>
          <w:shd w:fill="auto" w:val="clear"/>
        </w:rPr>
      </w:pPr>
      <w:r>
        <w:rPr>
          <w:rFonts w:cs="Times New Roman" w:ascii="Arial" w:hAnsi="Arial"/>
          <w:color w:val="000000"/>
          <w:sz w:val="20"/>
          <w:szCs w:val="20"/>
          <w:shd w:fill="auto" w:val="clear"/>
        </w:rPr>
        <w:t xml:space="preserve">Quartel em Juiz de Fora, MG, </w:t>
      </w:r>
      <w:r>
        <w:rPr>
          <w:rFonts w:eastAsia="Times New Roman" w:cs="Times New Roman" w:ascii="Arial" w:hAnsi="Arial"/>
          <w:color w:val="000000"/>
          <w:kern w:val="0"/>
          <w:sz w:val="20"/>
          <w:szCs w:val="20"/>
          <w:shd w:fill="auto" w:val="clear"/>
          <w:lang w:val="pt-BR" w:eastAsia="pt-BR" w:bidi="ar-SA"/>
        </w:rPr>
        <w:t>xx</w:t>
      </w:r>
      <w:r>
        <w:rPr>
          <w:rFonts w:cs="Times New Roman" w:ascii="Arial" w:hAnsi="Arial"/>
          <w:color w:val="000000"/>
          <w:sz w:val="20"/>
          <w:szCs w:val="20"/>
          <w:shd w:fill="auto" w:val="clear"/>
        </w:rPr>
        <w:t xml:space="preserve"> de </w:t>
      </w:r>
      <w:r>
        <w:rPr>
          <w:rFonts w:eastAsia="Times New Roman" w:cs="Times New Roman" w:ascii="Arial" w:hAnsi="Arial"/>
          <w:color w:val="000000"/>
          <w:kern w:val="0"/>
          <w:sz w:val="20"/>
          <w:szCs w:val="20"/>
          <w:shd w:fill="auto" w:val="clear"/>
          <w:lang w:val="pt-BR" w:eastAsia="pt-BR" w:bidi="ar-SA"/>
        </w:rPr>
        <w:t>xxxxxxx</w:t>
      </w:r>
      <w:r>
        <w:rPr>
          <w:rFonts w:cs="Times New Roman" w:ascii="Arial" w:hAnsi="Arial"/>
          <w:color w:val="000000"/>
          <w:sz w:val="20"/>
          <w:szCs w:val="20"/>
          <w:shd w:fill="auto" w:val="clear"/>
        </w:rPr>
        <w:t xml:space="preserve"> de 202</w:t>
      </w:r>
      <w:r>
        <w:rPr>
          <w:rFonts w:eastAsia="Times New Roman" w:cs="Times New Roman" w:ascii="Arial" w:hAnsi="Arial"/>
          <w:color w:val="000000"/>
          <w:kern w:val="0"/>
          <w:sz w:val="20"/>
          <w:szCs w:val="20"/>
          <w:shd w:fill="auto" w:val="clear"/>
          <w:lang w:val="pt-BR" w:eastAsia="pt-BR" w:bidi="ar-SA"/>
        </w:rPr>
        <w:t>6</w:t>
      </w:r>
      <w:r>
        <w:rPr>
          <w:rFonts w:cs="Times New Roman" w:ascii="Arial" w:hAnsi="Arial"/>
          <w:color w:val="000000"/>
          <w:sz w:val="20"/>
          <w:szCs w:val="20"/>
          <w:shd w:fill="auto" w:val="clear"/>
        </w:rPr>
        <w:t>.</w:t>
      </w:r>
    </w:p>
    <w:p>
      <w:pPr>
        <w:pStyle w:val="Normal"/>
        <w:spacing w:lineRule="auto" w:line="276" w:before="240" w:after="240"/>
        <w:ind w:hanging="0" w:left="-57"/>
        <w:jc w:val="center"/>
        <w:rPr>
          <w:highlight w:val="none"/>
          <w:shd w:fill="auto" w:val="clear"/>
        </w:rPr>
      </w:pPr>
      <w:r>
        <w:rPr>
          <w:shd w:fill="auto" w:val="clear"/>
        </w:rPr>
      </w:r>
    </w:p>
    <w:p>
      <w:pPr>
        <w:pStyle w:val="Normal"/>
        <w:spacing w:lineRule="auto" w:line="276" w:before="240" w:after="240"/>
        <w:ind w:hanging="0" w:left="-57"/>
        <w:jc w:val="center"/>
        <w:rPr>
          <w:highlight w:val="none"/>
          <w:shd w:fill="auto" w:val="clear"/>
        </w:rPr>
      </w:pPr>
      <w:r>
        <w:rPr>
          <w:shd w:fill="auto" w:val="clear"/>
        </w:rPr>
      </w:r>
    </w:p>
    <w:p>
      <w:pPr>
        <w:pStyle w:val="Normal"/>
        <w:spacing w:lineRule="auto" w:line="276"/>
        <w:ind w:hanging="0" w:left="-57"/>
        <w:jc w:val="center"/>
        <w:rPr>
          <w:rFonts w:ascii="Arial" w:hAnsi="Arial"/>
        </w:rPr>
      </w:pPr>
      <w:r>
        <w:rPr>
          <w:rFonts w:cs="Times New Roman" w:ascii="Arial" w:hAnsi="Arial"/>
          <w:b/>
          <w:bCs/>
          <w:iCs/>
          <w:color w:val="000000"/>
          <w:sz w:val="20"/>
          <w:szCs w:val="20"/>
        </w:rPr>
        <w:t>EDUARDO SARAIVA DIAS – Cel</w:t>
      </w:r>
    </w:p>
    <w:p>
      <w:pPr>
        <w:pStyle w:val="Normal"/>
        <w:widowControl w:val="false"/>
        <w:spacing w:lineRule="auto" w:line="276"/>
        <w:ind w:hanging="0" w:left="-57"/>
        <w:jc w:val="center"/>
        <w:rPr>
          <w:rFonts w:ascii="Arial" w:hAnsi="Arial"/>
        </w:rPr>
      </w:pPr>
      <w:r>
        <w:rPr>
          <w:rFonts w:cs="Times New Roman" w:ascii="Arial" w:hAnsi="Arial"/>
          <w:color w:val="000000"/>
          <w:sz w:val="20"/>
          <w:szCs w:val="20"/>
        </w:rPr>
        <w:t>Ordenador de Despesas do Comando da 4ª Brigada de Infantaria Leve de Montanha</w:t>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hanging="0"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sz w:val="20"/>
          <w:szCs w:val="20"/>
        </w:rPr>
      </w:pPr>
      <w:r>
        <w:rPr>
          <w:rFonts w:cs="Arial" w:ascii="Arial" w:hAnsi="Arial"/>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sz w:val="20"/>
          <w:szCs w:val="20"/>
        </w:rPr>
        <w:t xml:space="preserve">Representante legal do órgão gerenciador e representante(s) legal(is) do(s) </w:t>
      </w:r>
      <w:r>
        <w:rPr>
          <w:rFonts w:cs="Arial" w:ascii="Arial" w:hAnsi="Arial"/>
          <w:color w:val="000000"/>
          <w:sz w:val="20"/>
          <w:szCs w:val="20"/>
        </w:rPr>
        <w:t>fornecedor(s) registrado(s)</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rPr>
          <w:rFonts w:ascii="Arial" w:hAnsi="Arial" w:cs="Arial"/>
          <w:color w:val="000000"/>
          <w:sz w:val="20"/>
          <w:szCs w:val="20"/>
        </w:rPr>
      </w:pPr>
      <w:r>
        <w:rPr>
          <w:rFonts w:cs="Arial" w:ascii="Arial" w:hAnsi="Arial"/>
          <w:color w:val="000000"/>
          <w:sz w:val="20"/>
          <w:szCs w:val="20"/>
        </w:rPr>
      </w:r>
      <w:r>
        <w:br w:type="page"/>
      </w:r>
    </w:p>
    <w:p>
      <w:pPr>
        <w:pStyle w:val="Normal"/>
        <w:widowControl w:val="false"/>
        <w:spacing w:lineRule="auto" w:line="360" w:before="0" w:after="0"/>
        <w:ind w:right="-30"/>
        <w:jc w:val="center"/>
        <w:rPr>
          <w:rFonts w:ascii="Arial" w:hAnsi="Arial" w:cs="Arial"/>
          <w:color w:val="000000"/>
          <w:sz w:val="20"/>
          <w:szCs w:val="20"/>
        </w:rPr>
      </w:pPr>
      <w:commentRangeStart w:id="8"/>
      <w:r>
        <w:rPr>
          <w:rFonts w:cs="Arial" w:ascii="Arial" w:hAnsi="Arial"/>
          <w:color w:val="000000"/>
          <w:sz w:val="20"/>
          <w:szCs w:val="20"/>
        </w:rPr>
        <w:t>Anexo</w:t>
      </w:r>
      <w:commentRangeEnd w:id="8"/>
      <w:r>
        <w:commentReference w:id="8"/>
      </w: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Cadastro Reserva</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aceitaram cotar os itens com preços iguais ao adjudicatário:</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X</w:t>
            </w:r>
          </w:p>
        </w:tc>
        <w:tc>
          <w:tcPr>
            <w:tcW w:w="1335"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Marca</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Modelo</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exigido no edital)</w:t>
            </w:r>
          </w:p>
        </w:tc>
        <w:tc>
          <w:tcPr>
            <w:tcW w:w="1123"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Unidade</w:t>
            </w:r>
          </w:p>
        </w:tc>
        <w:tc>
          <w:tcPr>
            <w:tcW w:w="111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Máxima</w:t>
            </w:r>
          </w:p>
        </w:tc>
        <w:tc>
          <w:tcPr>
            <w:tcW w:w="843"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Mínima</w:t>
            </w:r>
          </w:p>
        </w:tc>
        <w:tc>
          <w:tcPr>
            <w:tcW w:w="83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5"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1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3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r>
    </w:tbl>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t>Seguindo a ordem de classificação, segue relação de fornecedores que mantiveram sua proposta original:</w:t>
      </w:r>
    </w:p>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tbl>
      <w:tblPr>
        <w:tblW w:w="9392" w:type="dxa"/>
        <w:jc w:val="left"/>
        <w:tblInd w:w="10" w:type="dxa"/>
        <w:tblLayout w:type="fixed"/>
        <w:tblCellMar>
          <w:top w:w="0" w:type="dxa"/>
          <w:left w:w="10" w:type="dxa"/>
          <w:bottom w:w="0" w:type="dxa"/>
          <w:right w:w="10" w:type="dxa"/>
        </w:tblCellMar>
        <w:tblLook w:firstRow="0" w:noVBand="0" w:lastRow="0" w:firstColumn="0" w:lastColumn="0" w:noHBand="0" w:val="0000"/>
      </w:tblPr>
      <w:tblGrid>
        <w:gridCol w:w="494"/>
        <w:gridCol w:w="1335"/>
        <w:gridCol w:w="1254"/>
        <w:gridCol w:w="1540"/>
        <w:gridCol w:w="1123"/>
        <w:gridCol w:w="1119"/>
        <w:gridCol w:w="843"/>
        <w:gridCol w:w="839"/>
        <w:gridCol w:w="844"/>
      </w:tblGrid>
      <w:tr>
        <w:trPr>
          <w:trHeight w:val="511" w:hRule="atLeast"/>
        </w:trPr>
        <w:tc>
          <w:tcPr>
            <w:tcW w:w="494" w:type="dxa"/>
            <w:tcBorders>
              <w:top w:val="single" w:sz="2" w:space="0" w:color="000000"/>
              <w:left w:val="single" w:sz="2" w:space="0" w:color="000000"/>
              <w:bottom w:val="single" w:sz="2" w:space="0" w:color="000000"/>
              <w:right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Item</w:t>
            </w:r>
          </w:p>
          <w:p>
            <w:pPr>
              <w:pStyle w:val="Normal"/>
              <w:widowControl w:val="false"/>
              <w:ind w:right="-28"/>
              <w:jc w:val="center"/>
              <w:rPr>
                <w:rFonts w:ascii="Arial" w:hAnsi="Arial" w:cs="Arial"/>
                <w:sz w:val="16"/>
                <w:szCs w:val="16"/>
              </w:rPr>
            </w:pPr>
            <w:r>
              <w:rPr>
                <w:rFonts w:cs="Arial" w:ascii="Arial" w:hAnsi="Arial"/>
                <w:sz w:val="16"/>
                <w:szCs w:val="16"/>
              </w:rPr>
              <w:t>do</w:t>
            </w:r>
          </w:p>
          <w:p>
            <w:pPr>
              <w:pStyle w:val="Normal"/>
              <w:widowControl w:val="false"/>
              <w:ind w:right="-28"/>
              <w:jc w:val="center"/>
              <w:rPr>
                <w:rFonts w:ascii="Arial" w:hAnsi="Arial" w:cs="Arial"/>
                <w:sz w:val="16"/>
                <w:szCs w:val="16"/>
              </w:rPr>
            </w:pPr>
            <w:r>
              <w:rPr>
                <w:rFonts w:cs="Arial" w:ascii="Arial" w:hAnsi="Arial"/>
                <w:sz w:val="16"/>
                <w:szCs w:val="16"/>
              </w:rPr>
              <w:t>TR</w:t>
            </w:r>
          </w:p>
        </w:tc>
        <w:tc>
          <w:tcPr>
            <w:tcW w:w="8897" w:type="dxa"/>
            <w:gridSpan w:val="8"/>
            <w:tcBorders>
              <w:top w:val="single" w:sz="2" w:space="0" w:color="000000"/>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 xml:space="preserve">Fornecedor </w:t>
            </w:r>
            <w:r>
              <w:rPr>
                <w:rFonts w:cs="Arial" w:ascii="Arial" w:hAnsi="Arial"/>
                <w:i/>
                <w:color w:val="FF0000"/>
                <w:sz w:val="16"/>
                <w:szCs w:val="16"/>
              </w:rPr>
              <w:t>[razão social, CNPJ/MF, endereço, contatos, representante]</w:t>
            </w:r>
          </w:p>
        </w:tc>
      </w:tr>
      <w:tr>
        <w:trPr>
          <w:trHeight w:val="674" w:hRule="atLeast"/>
        </w:trPr>
        <w:tc>
          <w:tcPr>
            <w:tcW w:w="494" w:type="dxa"/>
            <w:tcBorders>
              <w:left w:val="single" w:sz="2" w:space="0" w:color="000000"/>
              <w:bottom w:val="single" w:sz="2" w:space="0" w:color="000000"/>
            </w:tcBorders>
            <w:vAlign w:val="center"/>
          </w:tcPr>
          <w:p>
            <w:pPr>
              <w:pStyle w:val="Normal"/>
              <w:widowControl w:val="false"/>
              <w:ind w:right="-28"/>
              <w:jc w:val="center"/>
              <w:rPr>
                <w:rFonts w:ascii="Arial" w:hAnsi="Arial" w:cs="Arial"/>
                <w:sz w:val="16"/>
                <w:szCs w:val="16"/>
              </w:rPr>
            </w:pPr>
            <w:r>
              <w:rPr>
                <w:rFonts w:cs="Arial" w:ascii="Arial" w:hAnsi="Arial"/>
                <w:sz w:val="16"/>
                <w:szCs w:val="16"/>
              </w:rPr>
              <w:t>X</w:t>
            </w:r>
          </w:p>
        </w:tc>
        <w:tc>
          <w:tcPr>
            <w:tcW w:w="1335"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Especificação</w:t>
            </w:r>
          </w:p>
        </w:tc>
        <w:tc>
          <w:tcPr>
            <w:tcW w:w="1254"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Marca</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exigida no edital)</w:t>
            </w:r>
          </w:p>
        </w:tc>
        <w:tc>
          <w:tcPr>
            <w:tcW w:w="1540"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Modelo</w:t>
            </w:r>
          </w:p>
          <w:p>
            <w:pPr>
              <w:pStyle w:val="Normal"/>
              <w:widowControl w:val="false"/>
              <w:ind w:right="-28"/>
              <w:jc w:val="center"/>
              <w:rPr>
                <w:rFonts w:ascii="Arial" w:hAnsi="Arial" w:cs="Arial"/>
                <w:i/>
                <w:i/>
                <w:iCs/>
                <w:sz w:val="16"/>
                <w:szCs w:val="16"/>
              </w:rPr>
            </w:pPr>
            <w:r>
              <w:rPr>
                <w:rFonts w:cs="Arial" w:ascii="Arial" w:hAnsi="Arial"/>
                <w:i/>
                <w:iCs/>
                <w:color w:val="FF0000"/>
                <w:sz w:val="16"/>
                <w:szCs w:val="16"/>
              </w:rPr>
              <w:t>(se exigido no edital)</w:t>
            </w:r>
          </w:p>
        </w:tc>
        <w:tc>
          <w:tcPr>
            <w:tcW w:w="1123"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Unidade</w:t>
            </w:r>
          </w:p>
        </w:tc>
        <w:tc>
          <w:tcPr>
            <w:tcW w:w="111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Máxima</w:t>
            </w:r>
          </w:p>
        </w:tc>
        <w:tc>
          <w:tcPr>
            <w:tcW w:w="843"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Quantidade</w:t>
              <w:br/>
              <w:t>Mínima</w:t>
            </w:r>
          </w:p>
        </w:tc>
        <w:tc>
          <w:tcPr>
            <w:tcW w:w="839" w:type="dxa"/>
            <w:tcBorders>
              <w:left w:val="single" w:sz="2" w:space="0" w:color="000000"/>
              <w:bottom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Valor</w:t>
              <w:br/>
              <w:t>Unitário</w:t>
            </w:r>
          </w:p>
        </w:tc>
        <w:tc>
          <w:tcPr>
            <w:tcW w:w="844" w:type="dxa"/>
            <w:tcBorders>
              <w:left w:val="single" w:sz="2" w:space="0" w:color="000000"/>
              <w:bottom w:val="single" w:sz="2" w:space="0" w:color="000000"/>
              <w:right w:val="single" w:sz="2" w:space="0" w:color="000000"/>
            </w:tcBorders>
          </w:tcPr>
          <w:p>
            <w:pPr>
              <w:pStyle w:val="Normal"/>
              <w:widowControl w:val="false"/>
              <w:ind w:right="-28"/>
              <w:jc w:val="center"/>
              <w:rPr>
                <w:rFonts w:ascii="Arial" w:hAnsi="Arial" w:cs="Arial"/>
                <w:sz w:val="16"/>
                <w:szCs w:val="16"/>
              </w:rPr>
            </w:pPr>
            <w:r>
              <w:rPr>
                <w:rFonts w:cs="Arial" w:ascii="Arial" w:hAnsi="Arial"/>
                <w:sz w:val="16"/>
                <w:szCs w:val="16"/>
              </w:rPr>
              <w:t>Prazo garantia ou validade</w:t>
            </w:r>
          </w:p>
        </w:tc>
      </w:tr>
      <w:tr>
        <w:trPr>
          <w:trHeight w:val="174" w:hRule="atLeast"/>
        </w:trPr>
        <w:tc>
          <w:tcPr>
            <w:tcW w:w="49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335"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254"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540"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23"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111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3"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39" w:type="dxa"/>
            <w:tcBorders>
              <w:left w:val="single" w:sz="2" w:space="0" w:color="000000"/>
              <w:bottom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c>
          <w:tcPr>
            <w:tcW w:w="844" w:type="dxa"/>
            <w:tcBorders>
              <w:left w:val="single" w:sz="2" w:space="0" w:color="000000"/>
              <w:bottom w:val="single" w:sz="2" w:space="0" w:color="000000"/>
              <w:right w:val="single" w:sz="2" w:space="0" w:color="000000"/>
            </w:tcBorders>
          </w:tcPr>
          <w:p>
            <w:pPr>
              <w:pStyle w:val="Normal"/>
              <w:widowControl w:val="false"/>
              <w:spacing w:lineRule="auto" w:line="360"/>
              <w:ind w:right="-30"/>
              <w:jc w:val="both"/>
              <w:rPr>
                <w:rFonts w:ascii="Arial" w:hAnsi="Arial" w:cs="Arial"/>
                <w:sz w:val="16"/>
                <w:szCs w:val="16"/>
              </w:rPr>
            </w:pPr>
            <w:r>
              <w:rPr>
                <w:rFonts w:cs="Arial" w:ascii="Arial" w:hAnsi="Arial"/>
                <w:sz w:val="16"/>
                <w:szCs w:val="16"/>
              </w:rPr>
            </w:r>
          </w:p>
        </w:tc>
      </w:tr>
    </w:tbl>
    <w:p>
      <w:pPr>
        <w:pStyle w:val="Normal"/>
        <w:widowControl w:val="false"/>
        <w:spacing w:lineRule="auto" w:line="360"/>
        <w:ind w:right="-30"/>
        <w:jc w:val="center"/>
        <w:rPr>
          <w:rFonts w:ascii="Arial" w:hAnsi="Arial" w:cs="Arial"/>
          <w:color w:val="000000"/>
          <w:sz w:val="20"/>
          <w:szCs w:val="20"/>
        </w:rPr>
      </w:pPr>
      <w:r>
        <w:rPr>
          <w:rFonts w:cs="Arial" w:ascii="Arial" w:hAnsi="Arial"/>
          <w:color w:val="000000"/>
          <w:sz w:val="20"/>
          <w:szCs w:val="20"/>
        </w:rPr>
      </w:r>
    </w:p>
    <w:sectPr>
      <w:headerReference w:type="even" r:id="rId4"/>
      <w:headerReference w:type="default" r:id="rId5"/>
      <w:headerReference w:type="first" r:id="rId6"/>
      <w:footerReference w:type="even" r:id="rId7"/>
      <w:footerReference w:type="default" r:id="rId8"/>
      <w:footerReference w:type="first" r:id="rId9"/>
      <w:type w:val="nextPage"/>
      <w:pgSz w:w="11906" w:h="16838"/>
      <w:pgMar w:left="1701" w:right="1134" w:gutter="0" w:header="708" w:top="1418" w:footer="708" w:bottom="1418"/>
      <w:pgNumType w:fmt="decimal"/>
      <w:formProt w:val="false"/>
      <w:textDirection w:val="lrTb"/>
      <w:docGrid w:type="default" w:linePitch="360" w:charSpace="0"/>
    </w:sectPr>
  </w:body>
</w:document>
</file>

<file path=word/comments.xml><?xml version="1.0" encoding="utf-8"?>
<w:comments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comment w:id="0"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A possibilidade de vedação de adesão existe, por exemplo, na hipótese do parágrafo único do art. 4º do Decreto: </w:t>
      </w:r>
    </w:p>
    <w:p>
      <w:pPr>
        <w:overflowPunct w:val="false"/>
        <w:rPr/>
      </w:pPr>
      <w:r>
        <w:rPr>
          <w:rFonts w:ascii="Liberation Serif" w:hAnsi="Liberation Serif" w:eastAsia="Segoe UI"/>
          <w:lang w:val="en-US" w:eastAsia="en-US" w:bidi="en-US"/>
        </w:rPr>
        <w:t>"Art. 4º  É permitido o registro de preços com indicação limitada a unidades de contratação, sem indicação do total a ser adquirido, apenas nas seguintes situações:</w:t>
      </w:r>
    </w:p>
    <w:p>
      <w:pPr>
        <w:overflowPunct w:val="false"/>
        <w:rPr/>
      </w:pPr>
      <w:r>
        <w:rPr>
          <w:rFonts w:ascii="Liberation Serif" w:hAnsi="Liberation Serif" w:eastAsia="Segoe UI"/>
          <w:lang w:val="en-US" w:eastAsia="en-US" w:bidi="en-US"/>
        </w:rPr>
        <w:t>I - quando for a primeira licitação ou contratação direta para o objeto e o órgão ou a entidade não tiver registro de demandas anteriores;</w:t>
      </w:r>
    </w:p>
    <w:p>
      <w:pPr>
        <w:overflowPunct w:val="false"/>
        <w:rPr/>
      </w:pPr>
      <w:r>
        <w:rPr>
          <w:rFonts w:ascii="Liberation Serif" w:hAnsi="Liberation Serif" w:eastAsia="Segoe UI"/>
          <w:lang w:val="en-US" w:eastAsia="en-US" w:bidi="en-US"/>
        </w:rPr>
        <w:t>II - no caso de alimento perecível; ou</w:t>
      </w:r>
    </w:p>
    <w:p>
      <w:pPr>
        <w:overflowPunct w:val="false"/>
        <w:rPr/>
      </w:pPr>
      <w:r>
        <w:rPr>
          <w:rFonts w:ascii="Liberation Serif" w:hAnsi="Liberation Serif" w:eastAsia="Segoe UI"/>
          <w:lang w:val="en-US" w:eastAsia="en-US" w:bidi="en-US"/>
        </w:rPr>
        <w:t>III - no caso em que o serviço estiver integrado ao fornecimento de bens.</w:t>
      </w:r>
    </w:p>
    <w:p>
      <w:pPr>
        <w:overflowPunct w:val="false"/>
        <w:rPr/>
      </w:pPr>
      <w:r>
        <w:rPr>
          <w:rFonts w:ascii="Liberation Serif" w:hAnsi="Liberation Serif" w:eastAsia="Segoe UI"/>
          <w:lang w:val="en-US" w:eastAsia="en-US" w:bidi="en-US"/>
        </w:rPr>
        <w:t>Parágrafo único.  Nas situações referidas no caput, é obrigatória a indicação do valor máximo da despesa e é vedada a participação de outro órgão ou entidade na ata."</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lang w:val="en-US" w:eastAsia="en-US" w:bidi="en-US"/>
        </w:rPr>
        <w:t>Além disso, em razão da capacidade de gerenciamento do gerenciador, ele pode negar adesões posteriores, conforme art. 7º, I e XI, do Decreto: "Art. 7º  Compete ao órgão ou à entidade gerenciadora praticar todos os atos de controle e de administração do SRP, em especial:</w:t>
      </w:r>
    </w:p>
    <w:p>
      <w:pPr>
        <w:overflowPunct w:val="false"/>
        <w:rPr/>
      </w:pPr>
      <w:r>
        <w:rPr>
          <w:rFonts w:ascii="Liberation Serif" w:hAnsi="Liberation Serif" w:eastAsia="Segoe UI"/>
          <w:lang w:val="en-US" w:eastAsia="en-US" w:bidi="en-US"/>
        </w:rPr>
        <w:t>I - realizar procedimento público de intenção de registro de preços - IRP e, quando for o caso, estabelecer o número máximo de participantes, em conformidade com sua capacidade de gerenciamento;</w:t>
      </w:r>
    </w:p>
    <w:p>
      <w:pPr>
        <w:overflowPunct w:val="false"/>
        <w:rPr/>
      </w:pPr>
      <w:r>
        <w:rPr>
          <w:rFonts w:ascii="Liberation Serif" w:hAnsi="Liberation Serif" w:eastAsia="Segoe UI"/>
          <w:lang w:val="en-US" w:eastAsia="en-US" w:bidi="en-US"/>
        </w:rPr>
        <w:t>[...]</w:t>
      </w:r>
    </w:p>
    <w:p>
      <w:pPr>
        <w:overflowPunct w:val="false"/>
        <w:rPr/>
      </w:pPr>
      <w:r>
        <w:rPr>
          <w:rFonts w:ascii="Liberation Serif" w:hAnsi="Liberation Serif" w:eastAsia="Segoe UI"/>
          <w:lang w:val="en-US" w:eastAsia="en-US" w:bidi="en-US"/>
        </w:rPr>
        <w:t>XI - deliberar quanto à adesão posterior de órgãos e entidades que não tenham manifestado interesse durante o período de divulgação da IRP;"</w:t>
      </w:r>
    </w:p>
    <w:p>
      <w:pPr>
        <w:overflowPunct w:val="false"/>
        <w:rPr/>
      </w:pPr>
      <w:r>
        <w:rPr>
          <w:rFonts w:ascii="Liberation Serif" w:hAnsi="Liberation Serif" w:eastAsia="Segoe UI"/>
          <w:lang w:val="en-US" w:eastAsia="en-US" w:bidi="en-US"/>
        </w:rPr>
      </w:r>
    </w:p>
    <w:p>
      <w:pPr>
        <w:overflowPunct w:val="false"/>
        <w:rPr/>
      </w:pPr>
      <w:r>
        <w:rPr>
          <w:rFonts w:ascii="Liberation Serif" w:hAnsi="Liberation Serif" w:eastAsia="Segoe UI"/>
          <w:lang w:val="en-US" w:eastAsia="en-US" w:bidi="en-US"/>
        </w:rPr>
        <w:t>Assim, desde que devidamente justificado nos Estudos Técnicos Preliminares, poderá ser vedada a adesão, de forma prévia, a órgãos não-participantes.</w:t>
      </w:r>
    </w:p>
  </w:comment>
  <w:comment w:id="1"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O artigo 84 da Lei 14.133 fixa o prazo de 1 (um) ano para a ata de registro de preços, admitindo a prorrogação por igual período.</w:t>
      </w:r>
    </w:p>
  </w:comment>
  <w:comment w:id="2" w:author="Autor" w:date="0-00-00T00:00:00Z" w:initials="A">
    <w:p>
      <w:pPr>
        <w:overflowPunct w:val="false"/>
        <w:rPr/>
      </w:pPr>
      <w:r>
        <w:rPr>
          <w:rFonts w:ascii="Liberation Serif" w:hAnsi="Liberation Serif" w:eastAsia="Segoe UI"/>
          <w:b/>
          <w:bCs/>
          <w:i/>
          <w:iCs/>
          <w:lang w:val="en-US" w:eastAsia="en-US" w:bidi="en-US"/>
        </w:rPr>
        <w:t xml:space="preserve">Nota explicativa: </w:t>
      </w:r>
      <w:r>
        <w:rPr>
          <w:rFonts w:ascii="Liberation Serif" w:hAnsi="Liberation Serif" w:eastAsia="Segoe UI"/>
          <w:lang w:val="en-US" w:eastAsia="en-US" w:bidi="en-US"/>
        </w:rPr>
        <w:t>Consoante Parecer nº 00075/2024/DECOR/CGU/AGU, "há a possibilidade da renovação do quantitativo originalmente registrado em caso de prorrogação da vigência da Ata de Registro de Preços (ARP) desde que seja comprovada a manutenção do preço vantajoso, haja previsão expressa no ato convocatório e na ata de registro de preços, o tema tenha sido tratado na fase do planejamento da contratação e a prorrogação da ata de registro de preços seja celebrada por termo aditivo dentro do prazo de sua vigência"</w:t>
      </w:r>
    </w:p>
  </w:comment>
  <w:comment w:id="3"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Restringindo-se o reequilíbrio a alguns itens fornecidos em circunstâncias específicas, a ata poderá prever preços distintos na forma do artigo 82, III, da Lei nº 14.133, de 2021.</w:t>
      </w:r>
    </w:p>
  </w:comment>
  <w:comment w:id="4"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O §3º do art. 28 do Decreto nº 11.462/2023, prevê: "§ 3º  Na hipótese de cancelamento do registro do fornecedor, o órgão ou a entidade gerenciadora poderá convocar os licitantes que compõem o cadastro de reserva, observada a ordem de classificação."</w:t>
      </w:r>
    </w:p>
  </w:comment>
  <w:comment w:id="5"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A possibilidade de remanejamento está prevista no art. 30 do Decreto nº 11.462/2023</w:t>
      </w:r>
    </w:p>
  </w:comment>
  <w:comment w:id="6" w:author="Autor" w:date="0-00-00T00:00:00Z" w:initials="A">
    <w:p>
      <w:pPr>
        <w:overflowPunct w:val="fals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Art. 32. </w:t>
      </w:r>
      <w:r>
        <w:rPr>
          <w:rFonts w:ascii="Liberation Serif" w:hAnsi="Liberation Serif" w:eastAsia="Segoe UI"/>
          <w:color w:val="000000"/>
          <w:lang w:val="en-US" w:eastAsia="en-US" w:bidi="en-US"/>
        </w:rPr>
        <w:t> Serão observadas as seguintes regras de controle para a adesão à ata de registro de preços de que trata o art. 31:</w:t>
      </w:r>
    </w:p>
    <w:p>
      <w:pPr>
        <w:overflowPunct w:val="false"/>
        <w:rPr/>
      </w:pPr>
      <w:r>
        <w:rPr>
          <w:rFonts w:ascii="Liberation Serif" w:hAnsi="Liberation Serif" w:eastAsia="Segoe UI"/>
          <w:color w:val="000000"/>
          <w:lang w:val="en-US" w:eastAsia="en-US" w:bidi="en-US"/>
        </w:rPr>
        <w:t>I - as aquisições ou as contratações adicionais não poderão exceder, por órgão ou entidade, a cinquenta por cento dos quantitativos dos itens do instrumento convocatório registrados na ata de registro de preços para o órgão ou a entidade gerenciadora e para os órgãos ou as entidades participantes; e</w:t>
      </w:r>
    </w:p>
    <w:p>
      <w:pPr>
        <w:overflowPunct w:val="false"/>
        <w:rPr/>
      </w:pPr>
      <w:r>
        <w:rPr>
          <w:rFonts w:ascii="Liberation Serif" w:hAnsi="Liberation Serif" w:eastAsia="Segoe UI"/>
          <w:color w:val="000000"/>
          <w:lang w:val="en-US" w:eastAsia="en-US" w:bidi="en-US"/>
        </w:rPr>
        <w:t>II - o quantitativo decorrente das adesões não poderá exceder, na totalidade, ao dobro do quantitativo de cada item registrado na ata de registro de preços para o órgão ou a entidade gerenciadora e os órgãos ou as entidades participantes, independentemente do número de órgãos ou entidades não participantes que aderirem à ata de registro de preços.</w:t>
      </w:r>
    </w:p>
  </w:comment>
  <w:comment w:id="7" w:author="Autor" w:date="0-00-00T00:00:00Z" w:initials="A">
    <w:p>
      <w:pPr>
        <w:overflowPunct w:val="false"/>
        <w:rPr/>
      </w:pPr>
      <w:r>
        <w:rPr>
          <w:rFonts w:ascii="Liberation Serif" w:hAnsi="Liberation Serif" w:eastAsia="Segoe UI"/>
          <w:b/>
          <w:lang w:val="en-US" w:eastAsia="en-US" w:bidi="en-US"/>
        </w:rPr>
        <w:t xml:space="preserve">Nota Explicativa: </w:t>
      </w:r>
      <w:r>
        <w:rPr>
          <w:rFonts w:ascii="Liberation Serif" w:hAnsi="Liberation Serif" w:eastAsia="Segoe UI"/>
          <w:lang w:val="en-US" w:eastAsia="en-US" w:bidi="en-US"/>
        </w:rPr>
        <w:t>A sanção só cabe se o remanescente já assinou a ata e depois não atende convocação para firmar contrato ou instrumento equivalente: "Art. 45.  Após a homologação, o licitante vencedor será convocado para assinar o termo de contrato ou a ata de registro de preços, ou aceitar ou retirar o instrumento equivalente, no prazo estabelecido no edital de licitação, sob pena de decair o direito à contratação, sem prejuízo das sanções previstas na Lei nº 14.133, de 2021, e em outras legislações aplicáveis. [...] § 4º A recusa injustificada do adjudicatário em assinar o contrato ou a ata de registro de preço, ou em aceitar ou retirar o instrumento equivalente no prazo estabelecido pela Administração caracterizará o descumprimento total da obrigação assumida e o sujeitará às penalidades legalmente estabelecidas e à imediata perda da garantia de proposta em favor do órgão ou entidade promotora da licitação.</w:t>
      </w:r>
    </w:p>
    <w:p>
      <w:pPr>
        <w:overflowPunct w:val="false"/>
        <w:rPr/>
      </w:pPr>
      <w:r>
        <w:rPr>
          <w:rFonts w:ascii="Liberation Serif" w:hAnsi="Liberation Serif" w:eastAsia="Segoe UI"/>
          <w:lang w:val="en-US" w:eastAsia="en-US" w:bidi="en-US"/>
        </w:rPr>
        <w:t>§ 5º A regra do § 4º não se aplicará aos licitantes remanescentes convocados na forma do inciso I do § 3º."</w:t>
      </w:r>
    </w:p>
  </w:comment>
  <w:comment w:id="8" w:author="Autor" w:date="0-00-00T00:00:00Z" w:initials="A">
    <w:p>
      <w:pPr>
        <w:overflowPunct w:val="true"/>
        <w:rPr/>
      </w:pPr>
      <w:r>
        <w:rPr>
          <w:rFonts w:ascii="Liberation Serif" w:hAnsi="Liberation Serif" w:eastAsia="Segoe UI"/>
          <w:b/>
          <w:lang w:val="en-US" w:eastAsia="en-US" w:bidi="en-US"/>
        </w:rPr>
        <w:t>Nota Explicativa:</w:t>
      </w:r>
      <w:r>
        <w:rPr>
          <w:rFonts w:ascii="Liberation Serif" w:hAnsi="Liberation Serif" w:eastAsia="Segoe UI"/>
          <w:lang w:val="en-US" w:eastAsia="en-US" w:bidi="en-US"/>
        </w:rPr>
        <w:t xml:space="preserve"> Caso haja previsão de preços diferentes conforme artigo 82, III, da Lei nº 14.133, de 2021, e artigo 15, III, da Lei nº 11.462, de 2023, deverá ser incluída tabela com os fornecedores e seus respectivos preços.</w:t>
      </w:r>
    </w:p>
    <w:p>
      <w:pPr>
        <w:overflowPunct w:val="true"/>
        <w:rPr/>
      </w:pPr>
      <w:r>
        <w:rPr>
          <w:rFonts w:ascii="Liberation Serif" w:hAnsi="Liberation Serif" w:eastAsia="Segoe UI"/>
          <w:lang w:val="en-US" w:eastAsia="en-US" w:bidi="en-US"/>
        </w:rPr>
        <w:t xml:space="preserve">Nesta hipóteses, é provável que outras disposições deste modelo e dos demais modelos (edital, TR e contratos) também sofram alterações, cabendo ao órgão fazer as adequações devidas. </w:t>
      </w:r>
    </w:p>
  </w:comment>
</w:comments>
</file>

<file path=word/fontTable.xml><?xml version="1.0" encoding="utf-8"?>
<w:fonts xmlns:w="http://schemas.openxmlformats.org/wordprocessingml/2006/main" xmlns:r="http://schemas.openxmlformats.org/officeDocument/2006/relationships">
  <w:font w:name="Times New Roman">
    <w:charset w:val="00"/>
    <w:family w:val="roman"/>
    <w:pitch w:val="variable"/>
  </w:font>
  <w:font w:name="Symbol">
    <w:charset w:val="02"/>
    <w:family w:val="roman"/>
    <w:pitch w:val="variable"/>
  </w:font>
  <w:font w:name="Arial">
    <w:charset w:val="00"/>
    <w:family w:val="swiss"/>
    <w:pitch w:val="variable"/>
  </w:font>
  <w:font w:name="Liberation Serif">
    <w:altName w:val="Times New Roman"/>
    <w:charset w:val="00"/>
    <w:family w:val="roman"/>
    <w:pitch w:val="variable"/>
  </w:font>
  <w:font w:name="Ecofont_Spranq_eco_Sans">
    <w:charset w:val="00"/>
    <w:family w:val="roman"/>
    <w:pitch w:val="variable"/>
  </w:font>
  <w:font w:name="Cambria">
    <w:charset w:val="00"/>
    <w:family w:val="roman"/>
    <w:pitch w:val="variable"/>
  </w:font>
  <w:font w:name="Arial">
    <w:charset w:val="00"/>
    <w:family w:val="roman"/>
    <w:pitch w:val="variable"/>
  </w:font>
  <w:font w:name="Segoe UI">
    <w:charset w:val="00"/>
    <w:family w:val="roman"/>
    <w:pitch w:val="variable"/>
  </w:font>
  <w:font w:name="Liberation Sans">
    <w:altName w:val="Arial"/>
    <w:charset w:val="00"/>
    <w:family w:val="roman"/>
    <w:pitch w:val="variable"/>
  </w:font>
  <w:font w:name="Arial MT">
    <w:charset w:val="00"/>
    <w:family w:val="roman"/>
    <w:pitch w:val="variable"/>
  </w:font>
  <w:font w:name="Calibri">
    <w:charset w:val="00"/>
    <w:family w:val="roman"/>
    <w:pitch w:val="variable"/>
  </w:font>
</w:fonts>
</file>

<file path=word/footer1.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pPr>
    <w:r>
      <w:rPr/>
    </w:r>
  </w:p>
</w:ftr>
</file>

<file path=word/footer2.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val="8496B0"/>
        <w:spacing w:val="60"/>
        <w:sz w:val="16"/>
        <w:szCs w:val="16"/>
      </w:rPr>
    </w:pPr>
    <w:r>
      <w:rPr>
        <w:color w:val="8496B0"/>
        <w:spacing w:val="60"/>
      </w:rPr>
      <w:tab/>
      <w:tab/>
    </w:r>
  </w:p>
  <w:p>
    <w:pPr>
      <w:pStyle w:val="Footer"/>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Footer"/>
      <w:rPr>
        <w:rFonts w:ascii="Arial" w:hAnsi="Arial"/>
        <w:sz w:val="14"/>
      </w:rPr>
    </w:pPr>
    <w:r>
      <w:rPr>
        <w:rFonts w:ascii="Arial" w:hAnsi="Arial"/>
        <w:sz w:val="14"/>
      </w:rPr>
      <w:t>Aprovado pela Secretaria de Gestão e Inovação</w:t>
    </w:r>
  </w:p>
  <w:p>
    <w:pPr>
      <w:pStyle w:val="Footer"/>
      <w:rPr>
        <w:rFonts w:ascii="Arial" w:hAnsi="Arial"/>
        <w:sz w:val="14"/>
      </w:rPr>
    </w:pPr>
    <w:r>
      <w:rPr>
        <w:rFonts w:ascii="Arial" w:hAnsi="Arial"/>
        <w:sz w:val="14"/>
      </w:rPr>
      <w:t>Identidade visual pela Secretaria de Gestão e Inovação</w:t>
    </w:r>
  </w:p>
  <w:p>
    <w:pPr>
      <w:pStyle w:val="Footer"/>
      <w:rPr>
        <w:rFonts w:ascii="Arial" w:hAnsi="Arial"/>
        <w:sz w:val="14"/>
      </w:rPr>
    </w:pPr>
    <w:r>
      <w:rPr>
        <w:rFonts w:cs="Arial" w:ascii="Arial" w:hAnsi="Arial"/>
        <w:sz w:val="14"/>
        <w:szCs w:val="14"/>
      </w:rPr>
      <w:t>Atualização: ABR/2025</w:t>
    </w:r>
  </w:p>
</w:ftr>
</file>

<file path=word/footer3.xml><?xml version="1.0" encoding="utf-8"?>
<w:ft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Footer"/>
      <w:rPr>
        <w:color w:val="8496B0"/>
        <w:spacing w:val="60"/>
        <w:sz w:val="16"/>
        <w:szCs w:val="16"/>
      </w:rPr>
    </w:pPr>
    <w:r>
      <w:rPr>
        <w:color w:val="8496B0"/>
        <w:spacing w:val="60"/>
      </w:rPr>
      <w:tab/>
      <w:tab/>
    </w:r>
  </w:p>
  <w:p>
    <w:pPr>
      <w:pStyle w:val="Footer"/>
      <w:rPr>
        <w:rFonts w:ascii="Arial" w:hAnsi="Arial" w:cs="Arial"/>
        <w:color w:val="7F7F7F"/>
        <w:sz w:val="18"/>
        <w:szCs w:val="18"/>
      </w:rPr>
    </w:pPr>
    <w:r>
      <w:rPr>
        <w:color w:val="7F7F7F"/>
        <w:spacing w:val="60"/>
      </w:rPr>
      <w:tab/>
      <w:tab/>
    </w:r>
    <w:r>
      <w:rPr>
        <w:rFonts w:cs="Arial" w:ascii="Arial" w:hAnsi="Arial"/>
        <w:color w:val="595959"/>
        <w:spacing w:val="60"/>
        <w:sz w:val="18"/>
        <w:szCs w:val="18"/>
      </w:rPr>
      <w:t>Página</w:t>
    </w:r>
    <w:r>
      <w:rPr>
        <w:rFonts w:cs="Arial" w:ascii="Arial" w:hAnsi="Arial"/>
        <w:color w:val="595959"/>
        <w:sz w:val="18"/>
        <w:szCs w:val="18"/>
      </w:rPr>
      <w:t xml:space="preserve"> </w:t>
    </w:r>
    <w:r>
      <w:rPr>
        <w:rFonts w:cs="Arial" w:ascii="Arial" w:hAnsi="Arial"/>
        <w:color w:val="595959"/>
        <w:sz w:val="18"/>
        <w:szCs w:val="18"/>
      </w:rPr>
      <w:fldChar w:fldCharType="begin"/>
    </w:r>
    <w:r>
      <w:rPr>
        <w:sz w:val="18"/>
        <w:szCs w:val="18"/>
        <w:rFonts w:cs="Arial" w:ascii="Arial" w:hAnsi="Arial"/>
        <w:color w:val="595959"/>
      </w:rPr>
      <w:instrText xml:space="preserve"> PAGE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r>
      <w:rPr>
        <w:rFonts w:cs="Arial" w:ascii="Arial" w:hAnsi="Arial"/>
        <w:color w:val="595959"/>
        <w:sz w:val="18"/>
        <w:szCs w:val="18"/>
      </w:rPr>
      <w:t xml:space="preserve"> | </w:t>
    </w:r>
    <w:r>
      <w:rPr>
        <w:rFonts w:cs="Arial" w:ascii="Arial" w:hAnsi="Arial"/>
        <w:color w:val="595959"/>
        <w:sz w:val="18"/>
        <w:szCs w:val="18"/>
      </w:rPr>
      <w:fldChar w:fldCharType="begin"/>
    </w:r>
    <w:r>
      <w:rPr>
        <w:sz w:val="18"/>
        <w:szCs w:val="18"/>
        <w:rFonts w:cs="Arial" w:ascii="Arial" w:hAnsi="Arial"/>
        <w:color w:val="595959"/>
      </w:rPr>
      <w:instrText xml:space="preserve"> NUMPAGES </w:instrText>
    </w:r>
    <w:r>
      <w:rPr>
        <w:sz w:val="18"/>
        <w:szCs w:val="18"/>
        <w:rFonts w:cs="Arial" w:ascii="Arial" w:hAnsi="Arial"/>
        <w:color w:val="595959"/>
      </w:rPr>
      <w:fldChar w:fldCharType="separate"/>
    </w:r>
    <w:r>
      <w:rPr>
        <w:sz w:val="18"/>
        <w:szCs w:val="18"/>
        <w:rFonts w:cs="Arial" w:ascii="Arial" w:hAnsi="Arial"/>
        <w:color w:val="595959"/>
      </w:rPr>
      <w:t>9</w:t>
    </w:r>
    <w:r>
      <w:rPr>
        <w:sz w:val="18"/>
        <w:szCs w:val="18"/>
        <w:rFonts w:cs="Arial" w:ascii="Arial" w:hAnsi="Arial"/>
        <w:color w:val="595959"/>
      </w:rPr>
      <w:fldChar w:fldCharType="end"/>
    </w:r>
  </w:p>
  <w:p>
    <w:pPr>
      <w:pStyle w:val="Footer"/>
      <w:rPr>
        <w:rFonts w:ascii="Arial" w:hAnsi="Arial"/>
        <w:sz w:val="14"/>
      </w:rPr>
    </w:pPr>
    <w:r>
      <w:rPr>
        <w:rFonts w:ascii="Arial" w:hAnsi="Arial"/>
        <w:sz w:val="14"/>
      </w:rPr>
      <w:t>Câmara Nacional de Modelos de Licitações e Contratos da Consultoria-Geral da União</w:t>
    </w:r>
  </w:p>
  <w:p>
    <w:pPr>
      <w:pStyle w:val="Footer"/>
      <w:rPr>
        <w:rFonts w:ascii="Arial" w:hAnsi="Arial"/>
        <w:color w:val="222A35"/>
        <w:sz w:val="14"/>
      </w:rPr>
    </w:pPr>
    <w:r>
      <w:rPr>
        <w:rFonts w:cs="Arial" w:ascii="Arial" w:hAnsi="Arial"/>
        <w:sz w:val="14"/>
        <w:szCs w:val="14"/>
      </w:rPr>
      <w:t xml:space="preserve">Modelo de </w:t>
    </w:r>
    <w:r>
      <w:rPr>
        <w:rFonts w:ascii="Arial" w:hAnsi="Arial"/>
        <w:sz w:val="14"/>
      </w:rPr>
      <w:t>Modelo Ata de Registro de Preços - Lei nº 14.133, de 2021</w:t>
    </w:r>
  </w:p>
  <w:p>
    <w:pPr>
      <w:pStyle w:val="Footer"/>
      <w:rPr>
        <w:rFonts w:ascii="Arial" w:hAnsi="Arial"/>
        <w:sz w:val="14"/>
      </w:rPr>
    </w:pPr>
    <w:r>
      <w:rPr>
        <w:rFonts w:ascii="Arial" w:hAnsi="Arial"/>
        <w:sz w:val="14"/>
      </w:rPr>
      <w:t>Aprovado pela Secretaria de Gestão e Inovação</w:t>
    </w:r>
  </w:p>
  <w:p>
    <w:pPr>
      <w:pStyle w:val="Footer"/>
      <w:rPr>
        <w:rFonts w:ascii="Arial" w:hAnsi="Arial"/>
        <w:sz w:val="14"/>
      </w:rPr>
    </w:pPr>
    <w:r>
      <w:rPr>
        <w:rFonts w:ascii="Arial" w:hAnsi="Arial"/>
        <w:sz w:val="14"/>
      </w:rPr>
      <w:t>Identidade visual pela Secretaria de Gestão e Inovação</w:t>
    </w:r>
  </w:p>
  <w:p>
    <w:pPr>
      <w:pStyle w:val="Footer"/>
      <w:rPr>
        <w:rFonts w:ascii="Arial" w:hAnsi="Arial"/>
        <w:sz w:val="14"/>
      </w:rPr>
    </w:pPr>
    <w:r>
      <w:rPr>
        <w:rFonts w:cs="Arial" w:ascii="Arial" w:hAnsi="Arial"/>
        <w:sz w:val="14"/>
        <w:szCs w:val="14"/>
      </w:rPr>
      <w:t>Atualização: ABR/2025</w:t>
    </w:r>
  </w:p>
</w:ftr>
</file>

<file path=word/header1.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2.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header3.xml><?xml version="1.0" encoding="utf-8"?>
<w:hdr xmlns:o="urn:schemas-microsoft-com:office:office" xmlns:r="http://schemas.openxmlformats.org/officeDocument/2006/relationships" xmlns:v="urn:schemas-microsoft-com:vml" xmlns:w="http://schemas.openxmlformats.org/wordprocessingml/2006/main" xmlns:w10="urn:schemas-microsoft-com:office:word" xmlns:wp="http://schemas.openxmlformats.org/drawingml/2006/wordprocessingDrawing" xmlns:wps="http://schemas.microsoft.com/office/word/2010/wordprocessingShape" xmlns:wpg="http://schemas.microsoft.com/office/word/2010/wordprocessingGroup" xmlns:mc="http://schemas.openxmlformats.org/markup-compatibility/2006" xmlns:wp14="http://schemas.microsoft.com/office/word/2010/wordprocessingDrawing" xmlns:w14="http://schemas.microsoft.com/office/word/2010/wordml" xmlns:w15="http://schemas.microsoft.com/office/word/2012/wordml" mc:Ignorable="w14 wp14 w15">
  <w:p>
    <w:pPr>
      <w:pStyle w:val="Header"/>
      <w:rPr/>
    </w:pPr>
    <w:r>
      <w:rPr/>
    </w:r>
  </w:p>
</w:hdr>
</file>

<file path=word/numbering.xml><?xml version="1.0" encoding="utf-8"?>
<w:numbering xmlns:w="http://schemas.openxmlformats.org/wordprocessingml/2006/main" xmlns:o="urn:schemas-microsoft-com:office:office" xmlns:r="http://schemas.openxmlformats.org/officeDocument/2006/relationships" xmlns:v="urn:schemas-microsoft-com:vml" xmlns:mc="http://schemas.openxmlformats.org/markup-compatibility/2006" xmlns:w14="http://schemas.microsoft.com/office/word/2010/wordml" mc:Ignorable="w14">
  <w:abstractNum w:abstractNumId="1">
    <w:lvl w:ilvl="0">
      <w:start w:val="1"/>
      <w:numFmt w:val="decimal"/>
      <w:lvlText w:val="%1."/>
      <w:lvlJc w:val="left"/>
      <w:pPr>
        <w:tabs>
          <w:tab w:val="num" w:pos="0"/>
        </w:tabs>
        <w:ind w:left="360" w:hanging="360"/>
      </w:pPr>
      <w:rPr>
        <w:b/>
        <w:color w:val="auto"/>
      </w:rPr>
    </w:lvl>
    <w:lvl w:ilvl="1">
      <w:start w:val="1"/>
      <w:numFmt w:val="decimal"/>
      <w:lvlText w:val="%1.%2."/>
      <w:lvlJc w:val="left"/>
      <w:pPr>
        <w:tabs>
          <w:tab w:val="num" w:pos="0"/>
        </w:tabs>
        <w:ind w:left="574" w:hanging="432"/>
      </w:pPr>
      <w:rPr>
        <w:sz w:val="20"/>
        <w:szCs w:val="20"/>
      </w:rPr>
    </w:lvl>
    <w:lvl w:ilvl="2">
      <w:start w:val="1"/>
      <w:numFmt w:val="decimal"/>
      <w:lvlText w:val="%1.%2.%3."/>
      <w:lvlJc w:val="left"/>
      <w:pPr>
        <w:tabs>
          <w:tab w:val="num" w:pos="0"/>
        </w:tabs>
        <w:ind w:left="1497" w:hanging="504"/>
      </w:pPr>
      <w:rPr/>
    </w:lvl>
    <w:lvl w:ilvl="3">
      <w:start w:val="1"/>
      <w:numFmt w:val="decimal"/>
      <w:lvlText w:val="%1.%2.%3.%4."/>
      <w:lvlJc w:val="left"/>
      <w:pPr>
        <w:tabs>
          <w:tab w:val="num" w:pos="0"/>
        </w:tabs>
        <w:ind w:left="1728" w:hanging="648"/>
      </w:pPr>
      <w:rPr/>
    </w:lvl>
    <w:lvl w:ilvl="4">
      <w:start w:val="1"/>
      <w:numFmt w:val="decimal"/>
      <w:lvlText w:val="%1.%2.%3.%4.%5."/>
      <w:lvlJc w:val="left"/>
      <w:pPr>
        <w:tabs>
          <w:tab w:val="num" w:pos="0"/>
        </w:tabs>
        <w:ind w:left="2232" w:hanging="792"/>
      </w:pPr>
      <w:rPr/>
    </w:lvl>
    <w:lvl w:ilvl="5">
      <w:start w:val="1"/>
      <w:numFmt w:val="decimal"/>
      <w:lvlText w:val="%1.%2.%3.%4.%5.%6."/>
      <w:lvlJc w:val="left"/>
      <w:pPr>
        <w:tabs>
          <w:tab w:val="num" w:pos="0"/>
        </w:tabs>
        <w:ind w:left="2736" w:hanging="936"/>
      </w:pPr>
      <w:rPr/>
    </w:lvl>
    <w:lvl w:ilvl="6">
      <w:start w:val="1"/>
      <w:numFmt w:val="decimal"/>
      <w:lvlText w:val="%1.%2.%3.%4.%5.%6.%7."/>
      <w:lvlJc w:val="left"/>
      <w:pPr>
        <w:tabs>
          <w:tab w:val="num" w:pos="0"/>
        </w:tabs>
        <w:ind w:left="3240" w:hanging="1080"/>
      </w:pPr>
      <w:rPr/>
    </w:lvl>
    <w:lvl w:ilvl="7">
      <w:start w:val="1"/>
      <w:numFmt w:val="decimal"/>
      <w:lvlText w:val="%1.%2.%3.%4.%5.%6.%7.%8."/>
      <w:lvlJc w:val="left"/>
      <w:pPr>
        <w:tabs>
          <w:tab w:val="num" w:pos="0"/>
        </w:tabs>
        <w:ind w:left="3744" w:hanging="1224"/>
      </w:pPr>
      <w:rPr/>
    </w:lvl>
    <w:lvl w:ilvl="8">
      <w:start w:val="1"/>
      <w:numFmt w:val="decimal"/>
      <w:lvlText w:val="%1.%2.%3.%4.%5.%6.%7.%8.%9."/>
      <w:lvlJc w:val="left"/>
      <w:pPr>
        <w:tabs>
          <w:tab w:val="num" w:pos="0"/>
        </w:tabs>
        <w:ind w:left="4320" w:hanging="1440"/>
      </w:pPr>
      <w:rPr/>
    </w:lvl>
  </w:abstractNum>
  <w:abstractNum w:abstractNumId="2">
    <w:lvl w:ilvl="0">
      <w:start w:val="1"/>
      <w:numFmt w:val="none"/>
      <w:suff w:val="nothing"/>
      <w:lvlText w:val=""/>
      <w:lvlJc w:val="left"/>
      <w:pPr>
        <w:tabs>
          <w:tab w:val="num" w:pos="0"/>
        </w:tabs>
        <w:ind w:left="0" w:hanging="0"/>
      </w:pPr>
    </w:lvl>
    <w:lvl w:ilvl="1">
      <w:start w:val="1"/>
      <w:numFmt w:val="none"/>
      <w:suff w:val="nothing"/>
      <w:lvlText w:val=""/>
      <w:lvlJc w:val="left"/>
      <w:pPr>
        <w:tabs>
          <w:tab w:val="num" w:pos="0"/>
        </w:tabs>
        <w:ind w:left="0" w:hanging="0"/>
      </w:pPr>
    </w:lvl>
    <w:lvl w:ilvl="2">
      <w:start w:val="1"/>
      <w:numFmt w:val="none"/>
      <w:suff w:val="nothing"/>
      <w:lvlText w:val=""/>
      <w:lvlJc w:val="left"/>
      <w:pPr>
        <w:tabs>
          <w:tab w:val="num" w:pos="0"/>
        </w:tabs>
        <w:ind w:left="0" w:hanging="0"/>
      </w:pPr>
    </w:lvl>
    <w:lvl w:ilvl="3">
      <w:start w:val="1"/>
      <w:numFmt w:val="none"/>
      <w:suff w:val="nothing"/>
      <w:lvlText w:val=""/>
      <w:lvlJc w:val="left"/>
      <w:pPr>
        <w:tabs>
          <w:tab w:val="num" w:pos="0"/>
        </w:tabs>
        <w:ind w:left="0" w:hanging="0"/>
      </w:pPr>
    </w:lvl>
    <w:lvl w:ilvl="4">
      <w:start w:val="1"/>
      <w:numFmt w:val="none"/>
      <w:suff w:val="nothing"/>
      <w:lvlText w:val=""/>
      <w:lvlJc w:val="left"/>
      <w:pPr>
        <w:tabs>
          <w:tab w:val="num" w:pos="0"/>
        </w:tabs>
        <w:ind w:left="0" w:hanging="0"/>
      </w:pPr>
    </w:lvl>
    <w:lvl w:ilvl="5">
      <w:start w:val="1"/>
      <w:numFmt w:val="none"/>
      <w:suff w:val="nothing"/>
      <w:lvlText w:val=""/>
      <w:lvlJc w:val="left"/>
      <w:pPr>
        <w:tabs>
          <w:tab w:val="num" w:pos="0"/>
        </w:tabs>
        <w:ind w:left="0" w:hanging="0"/>
      </w:pPr>
    </w:lvl>
    <w:lvl w:ilvl="6">
      <w:start w:val="1"/>
      <w:numFmt w:val="none"/>
      <w:suff w:val="nothing"/>
      <w:lvlText w:val=""/>
      <w:lvlJc w:val="left"/>
      <w:pPr>
        <w:tabs>
          <w:tab w:val="num" w:pos="0"/>
        </w:tabs>
        <w:ind w:left="0" w:hanging="0"/>
      </w:pPr>
    </w:lvl>
    <w:lvl w:ilvl="7">
      <w:start w:val="1"/>
      <w:numFmt w:val="none"/>
      <w:suff w:val="nothing"/>
      <w:lvlText w:val=""/>
      <w:lvlJc w:val="left"/>
      <w:pPr>
        <w:tabs>
          <w:tab w:val="num" w:pos="0"/>
        </w:tabs>
        <w:ind w:left="0" w:hanging="0"/>
      </w:pPr>
    </w:lvl>
    <w:lvl w:ilvl="8">
      <w:start w:val="1"/>
      <w:numFmt w:val="none"/>
      <w:suff w:val="nothing"/>
      <w:lvlText w:val=""/>
      <w:lvlJc w:val="left"/>
      <w:pPr>
        <w:tabs>
          <w:tab w:val="num" w:pos="0"/>
        </w:tabs>
        <w:ind w:left="0" w:hanging="0"/>
      </w:pPr>
    </w:lvl>
  </w:abstractNum>
  <w:num w:numId="1">
    <w:abstractNumId w:val="1"/>
  </w:num>
  <w:num w:numId="2">
    <w:abstractNumId w:val="2"/>
  </w:num>
</w:numbering>
</file>

<file path=word/settings.xml><?xml version="1.0" encoding="utf-8"?>
<w:settings xmlns:w="http://schemas.openxmlformats.org/wordprocessingml/2006/main">
  <w:zoom w:percent="100"/>
  <w:mirrorMargins/>
  <w:defaultTabStop w:val="708"/>
  <w:autoHyphenation w:val="true"/>
  <w:compat>
    <w:compatSetting w:name="compatibilityMode" w:uri="http://schemas.microsoft.com/office/word" w:val="12"/>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themeFontLang w:val="pt-BR" w:eastAsia="" w:bidi=""/>
</w:settings>
</file>

<file path=word/styles.xml><?xml version="1.0" encoding="utf-8"?>
<w:styles xmlns:w="http://schemas.openxmlformats.org/wordprocessingml/2006/main" xmlns:w14="http://schemas.microsoft.com/office/word/2010/wordml" xmlns:mc="http://schemas.openxmlformats.org/markup-compatibility/2006" mc:Ignorable="w14">
  <w:docDefaults>
    <w:rPrDefault>
      <w:rPr>
        <w:rFonts w:ascii="Times New Roman" w:hAnsi="Times New Roman" w:eastAsia="Times New Roman" w:cs="Times New Roman"/>
        <w:lang w:val="pt-BR" w:eastAsia="pt-BR" w:bidi="ar-SA"/>
      </w:rPr>
    </w:rPrDefault>
    <w:pPrDefault>
      <w:pPr>
        <w:suppressAutoHyphens w:val="true"/>
      </w:pPr>
    </w:pPrDefault>
  </w:docDefaults>
  <w:latentStyles w:defLockedState="0" w:defUIPriority="0" w:defSemiHidden="0" w:defUnhideWhenUsed="0" w:defQFormat="0" w:count="376">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uiPriority="99"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Closing" w:semiHidden="1" w:unhideWhenUsed="1"/>
    <w:lsdException w:name="Signature" w:semiHidden="1" w:unhideWhenUsed="1"/>
    <w:lsdException w:name="Default Paragraph Font" w:semiHidden="1" w:unhideWhenUsed="1"/>
    <w:lsdException w:name="Body Text" w:uiPriority="99"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uiPriority="99" w:semiHidden="1" w:unhideWhenUsed="1"/>
    <w:lsdException w:name="FollowedHyperlink" w:semiHidden="1" w:unhideWhenUsed="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uiPriority="99"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uiPriority="99" w:semiHidden="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uiPriority="37" w:semiHidden="1" w:unhideWhenUsed="1"/>
    <w:lsdException w:name="TOC Heading" w:uiPriority="39" w:semiHidden="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uiPriority="99" w:semiHidden="1" w:unhideWhenUsed="1"/>
    <w:lsdException w:name="Smart Hyperlink" w:uiPriority="99" w:semiHidden="1" w:unhideWhenUsed="1"/>
    <w:lsdException w:name="Hashtag" w:uiPriority="99" w:semiHidden="1" w:unhideWhenUsed="1"/>
    <w:lsdException w:name="Unresolved Mention" w:uiPriority="99" w:semiHidden="1" w:unhideWhenUsed="1"/>
    <w:lsdException w:name="Smart Link" w:uiPriority="99" w:semiHidden="1" w:unhideWhenUsed="1"/>
  </w:latentStyles>
  <w:style w:type="paragraph" w:styleId="Normal" w:default="1">
    <w:name w:val="Normal"/>
    <w:qFormat/>
    <w:rsid w:val="00cb46fc"/>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Heading1">
    <w:name w:val="Heading 1"/>
    <w:basedOn w:val="Normal"/>
    <w:next w:val="Normal"/>
    <w:link w:val="Ttulo1Char"/>
    <w:qFormat/>
    <w:rsid w:val="006362ae"/>
    <w:pPr>
      <w:keepNext w:val="true"/>
      <w:keepLines/>
      <w:spacing w:before="480" w:after="0"/>
      <w:outlineLvl w:val="0"/>
    </w:pPr>
    <w:rPr>
      <w:rFonts w:ascii="Cambria" w:hAnsi="Cambria" w:eastAsia="" w:cs="" w:asciiTheme="majorHAnsi" w:cstheme="majorBidi" w:eastAsiaTheme="majorEastAsia" w:hAnsiTheme="majorHAnsi"/>
      <w:b/>
      <w:bCs/>
      <w:color w:themeColor="accent1" w:themeShade="bf" w:val="365F91"/>
      <w:sz w:val="28"/>
      <w:szCs w:val="28"/>
    </w:rPr>
  </w:style>
  <w:style w:type="character" w:styleId="DefaultParagraphFont" w:default="1">
    <w:name w:val="Default Paragraph Font"/>
    <w:uiPriority w:val="1"/>
    <w:semiHidden/>
    <w:unhideWhenUsed/>
    <w:qFormat/>
    <w:rPr/>
  </w:style>
  <w:style w:type="character" w:styleId="GradeColorida-nfase1Char" w:customStyle="1">
    <w:name w:val="Grade Colorida - Ênfase 1 Char"/>
    <w:link w:val="GradeColorida-nfase11"/>
    <w:qFormat/>
    <w:rsid w:val="00cb46fc"/>
    <w:rPr>
      <w:rFonts w:ascii="Ecofont_Spranq_eco_Sans" w:hAnsi="Ecofont_Spranq_eco_Sans" w:eastAsia="Calibri" w:cs="Tahoma"/>
      <w:i/>
      <w:iCs/>
      <w:color w:val="000000"/>
      <w:szCs w:val="24"/>
      <w:lang w:val="pt-BR" w:eastAsia="en-US" w:bidi="ar-SA"/>
    </w:rPr>
  </w:style>
  <w:style w:type="character" w:styleId="CorpodetextoChar" w:customStyle="1">
    <w:name w:val="Corpo de texto Char"/>
    <w:uiPriority w:val="99"/>
    <w:qFormat/>
    <w:rsid w:val="002f4c05"/>
    <w:rPr>
      <w:sz w:val="24"/>
      <w:szCs w:val="24"/>
    </w:rPr>
  </w:style>
  <w:style w:type="character" w:styleId="InternetLink">
    <w:name w:val="Internet Link"/>
    <w:uiPriority w:val="99"/>
    <w:unhideWhenUsed/>
    <w:qFormat/>
    <w:rsid w:val="00520e7a"/>
    <w:rPr>
      <w:color w:val="0000FF"/>
      <w:u w:val="single"/>
    </w:rPr>
  </w:style>
  <w:style w:type="character" w:styleId="CabealhoChar" w:customStyle="1">
    <w:name w:val="Cabeçalho Char"/>
    <w:basedOn w:val="DefaultParagraphFont"/>
    <w:qFormat/>
    <w:rsid w:val="00bb5309"/>
    <w:rPr>
      <w:rFonts w:ascii="Ecofont_Spranq_eco_Sans" w:hAnsi="Ecofont_Spranq_eco_Sans" w:cs="Tahoma"/>
      <w:sz w:val="24"/>
      <w:szCs w:val="24"/>
    </w:rPr>
  </w:style>
  <w:style w:type="character" w:styleId="RodapChar" w:customStyle="1">
    <w:name w:val="Rodapé Char"/>
    <w:basedOn w:val="DefaultParagraphFont"/>
    <w:uiPriority w:val="99"/>
    <w:qFormat/>
    <w:rsid w:val="00bb5309"/>
    <w:rPr>
      <w:rFonts w:ascii="Ecofont_Spranq_eco_Sans" w:hAnsi="Ecofont_Spranq_eco_Sans" w:cs="Tahoma"/>
      <w:sz w:val="24"/>
      <w:szCs w:val="24"/>
    </w:rPr>
  </w:style>
  <w:style w:type="character" w:styleId="citao2Char" w:customStyle="1">
    <w:name w:val="citação 2 Char"/>
    <w:basedOn w:val="CitaoChar"/>
    <w:link w:val="citao2"/>
    <w:qFormat/>
    <w:rsid w:val="002038c8"/>
    <w:rPr>
      <w:rFonts w:ascii="Ecofont_Spranq_eco_Sans" w:hAnsi="Ecofont_Spranq_eco_Sans" w:eastAsia="Calibri" w:cs="Tahoma"/>
      <w:i/>
      <w:iCs/>
      <w:color w:val="000000"/>
      <w:sz w:val="24"/>
      <w:szCs w:val="24"/>
      <w:shd w:fill="FFFFCC" w:val="clear"/>
      <w:lang w:eastAsia="en-US"/>
    </w:rPr>
  </w:style>
  <w:style w:type="character" w:styleId="CitaoChar" w:customStyle="1">
    <w:name w:val="Citação Char"/>
    <w:basedOn w:val="DefaultParagraphFont"/>
    <w:link w:val="Quote"/>
    <w:uiPriority w:val="29"/>
    <w:qFormat/>
    <w:rsid w:val="002038c8"/>
    <w:rPr>
      <w:rFonts w:ascii="Ecofont_Spranq_eco_Sans" w:hAnsi="Ecofont_Spranq_eco_Sans" w:cs="Tahoma"/>
      <w:i/>
      <w:iCs/>
      <w:color w:themeColor="text1" w:val="000000"/>
      <w:sz w:val="24"/>
      <w:szCs w:val="24"/>
    </w:rPr>
  </w:style>
  <w:style w:type="character" w:styleId="Ttulo1Char" w:customStyle="1">
    <w:name w:val="Título 1 Char"/>
    <w:basedOn w:val="DefaultParagraphFont"/>
    <w:qFormat/>
    <w:rsid w:val="006362ae"/>
    <w:rPr>
      <w:rFonts w:ascii="Cambria" w:hAnsi="Cambria" w:eastAsia="" w:cs="" w:asciiTheme="majorHAnsi" w:cstheme="majorBidi" w:eastAsiaTheme="majorEastAsia" w:hAnsiTheme="majorHAnsi"/>
      <w:b/>
      <w:bCs/>
      <w:color w:themeColor="accent1" w:themeShade="bf" w:val="365F91"/>
      <w:sz w:val="28"/>
      <w:szCs w:val="28"/>
    </w:rPr>
  </w:style>
  <w:style w:type="character" w:styleId="Nivel1Char" w:customStyle="1">
    <w:name w:val="Nivel1 Char"/>
    <w:basedOn w:val="Ttulo1Char"/>
    <w:link w:val="Nivel1"/>
    <w:qFormat/>
    <w:rsid w:val="006362ae"/>
    <w:rPr>
      <w:rFonts w:ascii="Arial" w:hAnsi="Arial" w:eastAsia="" w:cs="Arial" w:eastAsiaTheme="majorEastAsia"/>
      <w:b/>
      <w:bCs/>
      <w:color w:themeColor="accent1" w:themeShade="bf" w:val="365F91"/>
      <w:sz w:val="28"/>
      <w:szCs w:val="28"/>
    </w:rPr>
  </w:style>
  <w:style w:type="character" w:styleId="annotationreference">
    <w:name w:val="annotation reference"/>
    <w:basedOn w:val="DefaultParagraphFont"/>
    <w:semiHidden/>
    <w:unhideWhenUsed/>
    <w:qFormat/>
    <w:rsid w:val="006a7a1a"/>
    <w:rPr>
      <w:sz w:val="16"/>
      <w:szCs w:val="16"/>
    </w:rPr>
  </w:style>
  <w:style w:type="character" w:styleId="TextodecomentrioChar" w:customStyle="1">
    <w:name w:val="Texto de comentário Char"/>
    <w:basedOn w:val="DefaultParagraphFont"/>
    <w:qFormat/>
    <w:rsid w:val="006a7a1a"/>
    <w:rPr>
      <w:rFonts w:ascii="Ecofont_Spranq_eco_Sans" w:hAnsi="Ecofont_Spranq_eco_Sans" w:cs="Tahoma"/>
    </w:rPr>
  </w:style>
  <w:style w:type="character" w:styleId="AssuntodocomentrioChar" w:customStyle="1">
    <w:name w:val="Assunto do comentário Char"/>
    <w:basedOn w:val="TextodecomentrioChar"/>
    <w:link w:val="annotationsubject"/>
    <w:semiHidden/>
    <w:qFormat/>
    <w:rsid w:val="006a7a1a"/>
    <w:rPr>
      <w:rFonts w:ascii="Ecofont_Spranq_eco_Sans" w:hAnsi="Ecofont_Spranq_eco_Sans" w:cs="Tahoma"/>
      <w:b/>
      <w:bCs/>
    </w:rPr>
  </w:style>
  <w:style w:type="character" w:styleId="TextodebaloChar" w:customStyle="1">
    <w:name w:val="Texto de balão Char"/>
    <w:basedOn w:val="DefaultParagraphFont"/>
    <w:link w:val="BalloonText"/>
    <w:semiHidden/>
    <w:qFormat/>
    <w:rsid w:val="006a7a1a"/>
    <w:rPr>
      <w:rFonts w:ascii="Segoe UI" w:hAnsi="Segoe UI" w:cs="Segoe UI"/>
      <w:sz w:val="18"/>
      <w:szCs w:val="18"/>
    </w:rPr>
  </w:style>
  <w:style w:type="character" w:styleId="Nivel01Char" w:customStyle="1">
    <w:name w:val="Nivel 01 Char"/>
    <w:basedOn w:val="DefaultParagraphFont"/>
    <w:link w:val="Nivel01"/>
    <w:qFormat/>
    <w:rsid w:val="00636001"/>
    <w:rPr>
      <w:rFonts w:ascii="Arial" w:hAnsi="Arial" w:eastAsia="" w:cs="Arial" w:eastAsiaTheme="majorEastAsia"/>
      <w:b/>
      <w:bCs/>
      <w:lang w:eastAsia="en-US"/>
    </w:rPr>
  </w:style>
  <w:style w:type="character" w:styleId="Nivel2Char" w:customStyle="1">
    <w:name w:val="Nivel 2 Char"/>
    <w:basedOn w:val="DefaultParagraphFont"/>
    <w:link w:val="Nivel2"/>
    <w:qFormat/>
    <w:locked/>
    <w:rsid w:val="00d8054f"/>
    <w:rPr>
      <w:rFonts w:ascii="Arial" w:hAnsi="Arial" w:cs="Arial"/>
    </w:rPr>
  </w:style>
  <w:style w:type="character" w:styleId="Nvel2-RedChar" w:customStyle="1">
    <w:name w:val="Nível 2 -Red Char"/>
    <w:basedOn w:val="Nivel2Char"/>
    <w:link w:val="Nvel2-Red"/>
    <w:qFormat/>
    <w:rsid w:val="00be6ea8"/>
    <w:rPr>
      <w:rFonts w:ascii="Arial" w:hAnsi="Arial" w:cs="Arial"/>
      <w:i/>
      <w:iCs/>
      <w:color w:val="FF0000"/>
    </w:rPr>
  </w:style>
  <w:style w:type="character" w:styleId="ouChar" w:customStyle="1">
    <w:name w:val="ou Char"/>
    <w:basedOn w:val="DefaultParagraphFont"/>
    <w:link w:val="ou"/>
    <w:qFormat/>
    <w:rsid w:val="009d6ccc"/>
    <w:rPr>
      <w:rFonts w:ascii="Arial" w:hAnsi="Arial" w:eastAsia="Calibri" w:cs="Arial" w:eastAsiaTheme="minorHAnsi"/>
      <w:b/>
      <w:bCs/>
      <w:i/>
      <w:iCs/>
      <w:color w:val="FF0000"/>
      <w:szCs w:val="24"/>
      <w:u w:val="single"/>
    </w:rPr>
  </w:style>
  <w:style w:type="character" w:styleId="Nvel3-RChar" w:customStyle="1">
    <w:name w:val="Nível 3-R Char"/>
    <w:basedOn w:val="DefaultParagraphFont"/>
    <w:link w:val="Nvel3-R"/>
    <w:qFormat/>
    <w:rsid w:val="00b73e47"/>
    <w:rPr>
      <w:rFonts w:ascii="Arial" w:hAnsi="Arial" w:eastAsia="" w:cs="Arial" w:eastAsiaTheme="minorEastAsia"/>
      <w:i/>
      <w:iCs/>
      <w:color w:val="FF0000"/>
    </w:rPr>
  </w:style>
  <w:style w:type="character" w:styleId="Nvel3Char" w:customStyle="1">
    <w:name w:val="Nível 3 Char"/>
    <w:basedOn w:val="Nvel3-RChar"/>
    <w:link w:val="Nvel3"/>
    <w:qFormat/>
    <w:rsid w:val="009d6ccc"/>
    <w:rPr>
      <w:rFonts w:ascii="Arial" w:hAnsi="Arial" w:eastAsia="" w:cs="Arial" w:eastAsiaTheme="minorEastAsia"/>
      <w:i w:val="false"/>
      <w:iCs w:val="false"/>
      <w:color w:val="FF0000"/>
    </w:rPr>
  </w:style>
  <w:style w:type="character" w:styleId="Nvel4Char" w:customStyle="1">
    <w:name w:val="Nível 4 Char"/>
    <w:basedOn w:val="Nvel3Char"/>
    <w:link w:val="Nvel4"/>
    <w:qFormat/>
    <w:rsid w:val="009d6ccc"/>
    <w:rPr>
      <w:rFonts w:ascii="Arial" w:hAnsi="Arial" w:eastAsia="" w:cs="Arial" w:eastAsiaTheme="minorEastAsia"/>
      <w:i w:val="false"/>
      <w:iCs w:val="false"/>
      <w:color w:val="FF0000"/>
    </w:rPr>
  </w:style>
  <w:style w:type="character" w:styleId="SubTitNNChar" w:customStyle="1">
    <w:name w:val="SubTitNN Char"/>
    <w:basedOn w:val="DefaultParagraphFont"/>
    <w:link w:val="SubTitNN"/>
    <w:qFormat/>
    <w:rsid w:val="009d6ccc"/>
    <w:rPr>
      <w:rFonts w:ascii="Arial" w:hAnsi="Arial" w:cs="Arial"/>
      <w:b/>
      <w:bCs/>
      <w:iCs/>
    </w:rPr>
  </w:style>
  <w:style w:type="character" w:styleId="Fontepargpadro1">
    <w:name w:val="Fonte parág. padrão1"/>
    <w:qFormat/>
    <w:rPr/>
  </w:style>
  <w:style w:type="character" w:styleId="Hyperlink">
    <w:name w:val="Hyperlink"/>
    <w:rPr>
      <w:color w:val="0000FF"/>
      <w:u w:val="single"/>
    </w:rPr>
  </w:style>
  <w:style w:type="paragraph" w:styleId="Ttulo">
    <w:name w:val="Título"/>
    <w:basedOn w:val="Normal"/>
    <w:next w:val="BodyText"/>
    <w:qFormat/>
    <w:pPr>
      <w:keepNext w:val="true"/>
      <w:spacing w:before="240" w:after="120"/>
    </w:pPr>
    <w:rPr>
      <w:rFonts w:ascii="Liberation Sans" w:hAnsi="Liberation Sans" w:eastAsia="Microsoft YaHei" w:cs="Lucida Sans"/>
      <w:sz w:val="28"/>
      <w:szCs w:val="28"/>
    </w:rPr>
  </w:style>
  <w:style w:type="paragraph" w:styleId="BodyText">
    <w:name w:val="Body Text"/>
    <w:basedOn w:val="Normal"/>
    <w:link w:val="CorpodetextoChar"/>
    <w:uiPriority w:val="99"/>
    <w:unhideWhenUsed/>
    <w:rsid w:val="002f4c05"/>
    <w:pPr>
      <w:spacing w:beforeAutospacing="1" w:afterAutospacing="1"/>
    </w:pPr>
    <w:rPr>
      <w:rFonts w:ascii="Times New Roman" w:hAnsi="Times New Roman" w:cs="Times New Roman"/>
    </w:rPr>
  </w:style>
  <w:style w:type="paragraph" w:styleId="List">
    <w:name w:val="List"/>
    <w:basedOn w:val="BodyText"/>
    <w:pPr/>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styleId="ndice">
    <w:name w:val="Índice"/>
    <w:basedOn w:val="Normal"/>
    <w:qFormat/>
    <w:pPr>
      <w:suppressLineNumbers/>
    </w:pPr>
    <w:rPr>
      <w:rFonts w:cs="Lucida Sans"/>
    </w:rPr>
  </w:style>
  <w:style w:type="paragraph" w:styleId="GradeColorida-nfase11" w:customStyle="1">
    <w:name w:val="Grade Colorida - Ênfase 11"/>
    <w:basedOn w:val="Normal"/>
    <w:next w:val="Normal"/>
    <w:link w:val="GradeColorida-nfase1Char"/>
    <w:qFormat/>
    <w:rsid w:val="00cb46fc"/>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i/>
      <w:iCs/>
      <w:color w:val="000000"/>
      <w:sz w:val="20"/>
      <w:lang w:eastAsia="en-US"/>
    </w:rPr>
  </w:style>
  <w:style w:type="paragraph" w:styleId="ListParagraph">
    <w:name w:val="List Paragraph"/>
    <w:basedOn w:val="Normal"/>
    <w:uiPriority w:val="34"/>
    <w:qFormat/>
    <w:rsid w:val="003f48df"/>
    <w:pPr>
      <w:spacing w:before="0" w:after="0"/>
      <w:ind w:left="720"/>
      <w:contextualSpacing/>
    </w:pPr>
    <w:rPr/>
  </w:style>
  <w:style w:type="paragraph" w:styleId="Cabealhoerodap">
    <w:name w:val="Cabeçalho e rodapé"/>
    <w:basedOn w:val="Normal"/>
    <w:qFormat/>
    <w:pPr/>
    <w:rPr/>
  </w:style>
  <w:style w:type="paragraph" w:styleId="Header">
    <w:name w:val="Header"/>
    <w:basedOn w:val="Normal"/>
    <w:link w:val="CabealhoChar"/>
    <w:unhideWhenUsed/>
    <w:rsid w:val="00bb5309"/>
    <w:pPr>
      <w:tabs>
        <w:tab w:val="clear" w:pos="708"/>
        <w:tab w:val="center" w:pos="4252" w:leader="none"/>
        <w:tab w:val="right" w:pos="8504" w:leader="none"/>
      </w:tabs>
    </w:pPr>
    <w:rPr/>
  </w:style>
  <w:style w:type="paragraph" w:styleId="Footer">
    <w:name w:val="Footer"/>
    <w:basedOn w:val="Normal"/>
    <w:link w:val="RodapChar"/>
    <w:uiPriority w:val="99"/>
    <w:unhideWhenUsed/>
    <w:rsid w:val="00bb5309"/>
    <w:pPr>
      <w:tabs>
        <w:tab w:val="clear" w:pos="708"/>
        <w:tab w:val="center" w:pos="4252" w:leader="none"/>
        <w:tab w:val="right" w:pos="8504" w:leader="none"/>
      </w:tabs>
    </w:pPr>
    <w:rPr/>
  </w:style>
  <w:style w:type="paragraph" w:styleId="citao2" w:customStyle="1">
    <w:name w:val="citação 2"/>
    <w:basedOn w:val="Quote"/>
    <w:link w:val="citao2Char"/>
    <w:qFormat/>
    <w:rsid w:val="002038c8"/>
    <w:pPr>
      <w:pBdr>
        <w:top w:val="single" w:sz="4" w:space="1" w:color="1F497D"/>
        <w:left w:val="single" w:sz="4" w:space="4" w:color="1F497D"/>
        <w:bottom w:val="single" w:sz="4" w:space="1" w:color="1F497D"/>
        <w:right w:val="single" w:sz="4" w:space="4" w:color="1F497D"/>
      </w:pBdr>
      <w:shd w:val="clear" w:color="auto" w:fill="FFFFCC"/>
      <w:spacing w:before="120" w:after="0"/>
      <w:jc w:val="both"/>
    </w:pPr>
    <w:rPr>
      <w:rFonts w:eastAsia="Calibri"/>
      <w:color w:val="000000"/>
      <w:lang w:eastAsia="en-US"/>
    </w:rPr>
  </w:style>
  <w:style w:type="paragraph" w:styleId="Quote">
    <w:name w:val="Quote"/>
    <w:basedOn w:val="Normal"/>
    <w:next w:val="Normal"/>
    <w:link w:val="CitaoChar"/>
    <w:uiPriority w:val="29"/>
    <w:qFormat/>
    <w:rsid w:val="002038c8"/>
    <w:pPr/>
    <w:rPr>
      <w:i/>
      <w:iCs/>
      <w:color w:themeColor="text1" w:val="000000"/>
    </w:rPr>
  </w:style>
  <w:style w:type="paragraph" w:styleId="Nivel1" w:customStyle="1">
    <w:name w:val="Nivel1"/>
    <w:basedOn w:val="Heading1"/>
    <w:next w:val="Normal"/>
    <w:link w:val="Nivel1Char"/>
    <w:qFormat/>
    <w:rsid w:val="006362ae"/>
    <w:pPr>
      <w:widowControl w:val="false"/>
      <w:spacing w:lineRule="auto" w:line="276" w:before="480" w:after="120"/>
      <w:ind w:hanging="360" w:left="360"/>
      <w:jc w:val="both"/>
    </w:pPr>
    <w:rPr>
      <w:rFonts w:ascii="Arial" w:hAnsi="Arial" w:cs="Arial"/>
      <w:color w:themeColor="accent1" w:themeShade="bf" w:val="auto"/>
      <w:sz w:val="20"/>
      <w:szCs w:val="20"/>
    </w:rPr>
  </w:style>
  <w:style w:type="paragraph" w:styleId="Nivel01" w:customStyle="1">
    <w:name w:val="Nivel 01"/>
    <w:basedOn w:val="Heading1"/>
    <w:next w:val="Normal"/>
    <w:link w:val="Nivel01Char"/>
    <w:qFormat/>
    <w:rsid w:val="00636001"/>
    <w:pPr>
      <w:numPr>
        <w:ilvl w:val="0"/>
        <w:numId w:val="1"/>
      </w:numPr>
      <w:tabs>
        <w:tab w:val="clear" w:pos="708"/>
        <w:tab w:val="left" w:pos="567" w:leader="none"/>
      </w:tabs>
      <w:spacing w:lineRule="auto" w:line="276" w:before="120" w:after="120"/>
      <w:ind w:hanging="0" w:left="0"/>
      <w:jc w:val="both"/>
    </w:pPr>
    <w:rPr>
      <w:rFonts w:ascii="Arial" w:hAnsi="Arial" w:cs="Arial"/>
      <w:color w:themeColor="accent1" w:themeShade="bf" w:val="auto"/>
      <w:sz w:val="20"/>
      <w:szCs w:val="20"/>
      <w:lang w:eastAsia="en-US"/>
    </w:rPr>
  </w:style>
  <w:style w:type="paragraph" w:styleId="AnnotationText">
    <w:name w:val="Annotation Text"/>
    <w:basedOn w:val="Normal"/>
    <w:link w:val="TextodecomentrioChar"/>
    <w:unhideWhenUsed/>
    <w:rsid w:val="006a7a1a"/>
    <w:pPr/>
    <w:rPr>
      <w:sz w:val="20"/>
      <w:szCs w:val="20"/>
    </w:rPr>
  </w:style>
  <w:style w:type="paragraph" w:styleId="annotationsubject">
    <w:name w:val="annotation subject"/>
    <w:basedOn w:val="AnnotationText"/>
    <w:next w:val="AnnotationText"/>
    <w:link w:val="AssuntodocomentrioChar"/>
    <w:semiHidden/>
    <w:unhideWhenUsed/>
    <w:qFormat/>
    <w:rsid w:val="006a7a1a"/>
    <w:pPr/>
    <w:rPr>
      <w:b/>
      <w:bCs/>
    </w:rPr>
  </w:style>
  <w:style w:type="paragraph" w:styleId="BalloonText">
    <w:name w:val="Balloon Text"/>
    <w:basedOn w:val="Normal"/>
    <w:link w:val="TextodebaloChar"/>
    <w:semiHidden/>
    <w:unhideWhenUsed/>
    <w:qFormat/>
    <w:rsid w:val="006a7a1a"/>
    <w:pPr/>
    <w:rPr>
      <w:rFonts w:ascii="Segoe UI" w:hAnsi="Segoe UI" w:cs="Segoe UI"/>
      <w:sz w:val="18"/>
      <w:szCs w:val="18"/>
    </w:rPr>
  </w:style>
  <w:style w:type="paragraph" w:styleId="Revision">
    <w:name w:val="Revision"/>
    <w:uiPriority w:val="99"/>
    <w:semiHidden/>
    <w:qFormat/>
    <w:rsid w:val="00586901"/>
    <w:pPr>
      <w:widowControl/>
      <w:suppressAutoHyphens w:val="true"/>
      <w:bidi w:val="0"/>
      <w:spacing w:before="0" w:after="0"/>
      <w:jc w:val="left"/>
    </w:pPr>
    <w:rPr>
      <w:rFonts w:ascii="Ecofont_Spranq_eco_Sans" w:hAnsi="Ecofont_Spranq_eco_Sans" w:eastAsia="Times New Roman" w:cs="Tahoma"/>
      <w:color w:val="auto"/>
      <w:kern w:val="0"/>
      <w:sz w:val="24"/>
      <w:szCs w:val="24"/>
      <w:lang w:val="pt-BR" w:eastAsia="pt-BR" w:bidi="ar-SA"/>
    </w:rPr>
  </w:style>
  <w:style w:type="paragraph" w:styleId="Nivel2" w:customStyle="1">
    <w:name w:val="Nivel 2"/>
    <w:basedOn w:val="Normal"/>
    <w:link w:val="Nivel2Char"/>
    <w:qFormat/>
    <w:rsid w:val="00d8054f"/>
    <w:pPr>
      <w:numPr>
        <w:ilvl w:val="1"/>
        <w:numId w:val="1"/>
      </w:numPr>
      <w:spacing w:lineRule="auto" w:line="276" w:before="120" w:after="120"/>
      <w:ind w:hanging="0" w:left="0"/>
      <w:jc w:val="both"/>
    </w:pPr>
    <w:rPr>
      <w:rFonts w:ascii="Arial" w:hAnsi="Arial" w:cs="Arial"/>
      <w:sz w:val="20"/>
      <w:szCs w:val="20"/>
    </w:rPr>
  </w:style>
  <w:style w:type="paragraph" w:styleId="Nvel2-Red" w:customStyle="1">
    <w:name w:val="Nível 2 -Red"/>
    <w:basedOn w:val="Nivel2"/>
    <w:link w:val="Nvel2-RedChar"/>
    <w:qFormat/>
    <w:rsid w:val="00be6ea8"/>
    <w:pPr/>
    <w:rPr>
      <w:i/>
      <w:iCs/>
      <w:color w:val="FF0000"/>
    </w:rPr>
  </w:style>
  <w:style w:type="paragraph" w:styleId="ou" w:customStyle="1">
    <w:name w:val="ou"/>
    <w:basedOn w:val="ListParagraph"/>
    <w:link w:val="ouChar"/>
    <w:qFormat/>
    <w:rsid w:val="009d6ccc"/>
    <w:pPr>
      <w:spacing w:lineRule="auto" w:line="259" w:before="60" w:after="60"/>
      <w:ind w:left="0"/>
      <w:contextualSpacing w:val="false"/>
      <w:jc w:val="center"/>
    </w:pPr>
    <w:rPr>
      <w:rFonts w:ascii="Arial" w:hAnsi="Arial" w:eastAsia="Calibri" w:cs="Arial" w:eastAsiaTheme="minorHAnsi"/>
      <w:b/>
      <w:bCs/>
      <w:i/>
      <w:iCs/>
      <w:color w:val="FF0000"/>
      <w:sz w:val="20"/>
      <w:u w:val="single"/>
    </w:rPr>
  </w:style>
  <w:style w:type="paragraph" w:styleId="Nvel3-R" w:customStyle="1">
    <w:name w:val="Nível 3-R"/>
    <w:basedOn w:val="Normal"/>
    <w:link w:val="Nvel3-RChar"/>
    <w:qFormat/>
    <w:rsid w:val="00b73e47"/>
    <w:pPr>
      <w:numPr>
        <w:ilvl w:val="2"/>
        <w:numId w:val="1"/>
      </w:numPr>
      <w:spacing w:lineRule="auto" w:line="276" w:before="120" w:after="120"/>
      <w:ind w:hanging="0" w:left="284"/>
      <w:jc w:val="both"/>
    </w:pPr>
    <w:rPr>
      <w:rFonts w:ascii="Arial" w:hAnsi="Arial" w:eastAsia="" w:cs="Arial" w:eastAsiaTheme="minorEastAsia"/>
      <w:i/>
      <w:iCs/>
      <w:color w:val="FF0000"/>
      <w:sz w:val="20"/>
      <w:szCs w:val="20"/>
    </w:rPr>
  </w:style>
  <w:style w:type="paragraph" w:styleId="Nvel3" w:customStyle="1">
    <w:name w:val="Nível 3"/>
    <w:basedOn w:val="Nvel3-R"/>
    <w:link w:val="Nvel3Char"/>
    <w:qFormat/>
    <w:rsid w:val="009d6ccc"/>
    <w:pPr/>
    <w:rPr>
      <w:rFonts w:eastAsia="Times New Roman"/>
      <w:i w:val="false"/>
      <w:iCs w:val="false"/>
      <w:color w:val="auto"/>
    </w:rPr>
  </w:style>
  <w:style w:type="paragraph" w:styleId="Nvel4" w:customStyle="1">
    <w:name w:val="Nível 4"/>
    <w:basedOn w:val="Nvel3"/>
    <w:link w:val="Nvel4Char"/>
    <w:qFormat/>
    <w:rsid w:val="009d6ccc"/>
    <w:pPr>
      <w:ind w:hanging="0" w:left="567"/>
    </w:pPr>
    <w:rPr/>
  </w:style>
  <w:style w:type="paragraph" w:styleId="SubTitNN" w:customStyle="1">
    <w:name w:val="SubTitNN"/>
    <w:basedOn w:val="Normal"/>
    <w:link w:val="SubTitNNChar"/>
    <w:qFormat/>
    <w:rsid w:val="009d6ccc"/>
    <w:pPr>
      <w:spacing w:lineRule="auto" w:line="276" w:before="240" w:after="120"/>
      <w:jc w:val="both"/>
    </w:pPr>
    <w:rPr>
      <w:rFonts w:ascii="Arial" w:hAnsi="Arial" w:cs="Arial"/>
      <w:b/>
      <w:bCs/>
      <w:iCs/>
      <w:sz w:val="20"/>
      <w:szCs w:val="20"/>
    </w:rPr>
  </w:style>
  <w:style w:type="paragraph" w:styleId="WW-Ttulo1">
    <w:name w:val="WW-Título1"/>
    <w:basedOn w:val="Normal"/>
    <w:next w:val="Subtitle"/>
    <w:qFormat/>
    <w:pPr>
      <w:widowControl w:val="false"/>
      <w:jc w:val="center"/>
    </w:pPr>
    <w:rPr>
      <w:sz w:val="36"/>
      <w:szCs w:val="36"/>
    </w:rPr>
  </w:style>
  <w:style w:type="paragraph" w:styleId="Subtitle">
    <w:name w:val="Subtitle"/>
    <w:basedOn w:val="Normal"/>
    <w:next w:val="BodyText"/>
    <w:qFormat/>
    <w:pPr>
      <w:spacing w:before="0" w:after="60"/>
      <w:jc w:val="center"/>
    </w:pPr>
    <w:rPr>
      <w:rFonts w:ascii="Arial" w:hAnsi="Arial" w:cs="Arial"/>
    </w:rPr>
  </w:style>
  <w:style w:type="paragraph" w:styleId="Contedodatabela">
    <w:name w:val="Conteúdo da tabela"/>
    <w:basedOn w:val="Normal"/>
    <w:qFormat/>
    <w:pPr/>
    <w:rPr/>
  </w:style>
  <w:style w:type="paragraph" w:styleId="TableParagraph">
    <w:name w:val="Table Paragraph"/>
    <w:basedOn w:val="Normal"/>
    <w:qFormat/>
    <w:pPr>
      <w:widowControl w:val="false"/>
      <w:suppressAutoHyphens w:val="false"/>
      <w:overflowPunct w:val="true"/>
      <w:spacing w:lineRule="exact" w:line="153" w:before="10" w:after="0"/>
    </w:pPr>
    <w:rPr>
      <w:rFonts w:ascii="Arial MT" w:hAnsi="Arial MT" w:eastAsia="Arial MT" w:cs="Arial MT"/>
      <w:color w:val="auto"/>
      <w:sz w:val="22"/>
      <w:szCs w:val="22"/>
      <w:lang w:val="pt-PT" w:eastAsia="en-US"/>
    </w:rPr>
  </w:style>
  <w:style w:type="numbering" w:styleId="Semlista" w:default="1">
    <w:name w:val="Sem lista"/>
    <w:uiPriority w:val="99"/>
    <w:semiHidden/>
    <w:unhideWhenUsed/>
    <w:qFormat/>
  </w:style>
  <w:style w:type="table" w:default="1" w:styleId="Tabelanormal">
    <w:name w:val="Normal Table"/>
    <w:uiPriority w:val="99"/>
    <w:semiHidden/>
    <w:unhideWhenUsed/>
    <w:tblPr>
      <w:tblCellMar>
        <w:top w:w="0" w:type="dxa"/>
        <w:left w:w="108" w:type="dxa"/>
        <w:bottom w:w="0" w:type="dxa"/>
        <w:right w:w="108" w:type="dxa"/>
      </w:tblCellMar>
    </w:tblPr>
  </w:style>
</w:styles>
</file>

<file path=word/_rels/document.xml.rels><?xml version="1.0" encoding="UTF-8"?>
<Relationships xmlns="http://schemas.openxmlformats.org/package/2006/relationships"><Relationship Id="rId1" Type="http://schemas.openxmlformats.org/officeDocument/2006/relationships/styles" Target="styles.xml"/><Relationship Id="rId2" Type="http://schemas.openxmlformats.org/officeDocument/2006/relationships/image" Target="media/image1.png"/><Relationship Id="rId3" Type="http://schemas.openxmlformats.org/officeDocument/2006/relationships/hyperlink" Target="mailto:aprovisionamento4dsup@hotmail.com" TargetMode="External"/><Relationship Id="rId4" Type="http://schemas.openxmlformats.org/officeDocument/2006/relationships/header" Target="header1.xml"/><Relationship Id="rId5" Type="http://schemas.openxmlformats.org/officeDocument/2006/relationships/header" Target="header2.xml"/><Relationship Id="rId6" Type="http://schemas.openxmlformats.org/officeDocument/2006/relationships/header" Target="header3.xml"/><Relationship Id="rId7" Type="http://schemas.openxmlformats.org/officeDocument/2006/relationships/footer" Target="footer1.xml"/><Relationship Id="rId8" Type="http://schemas.openxmlformats.org/officeDocument/2006/relationships/footer" Target="footer2.xml"/><Relationship Id="rId9" Type="http://schemas.openxmlformats.org/officeDocument/2006/relationships/footer" Target="footer3.xml"/><Relationship Id="rId10" Type="http://schemas.openxmlformats.org/officeDocument/2006/relationships/comments" Target="comments.xml"/><Relationship Id="rId11" Type="http://schemas.openxmlformats.org/officeDocument/2006/relationships/numbering" Target="numbering.xml"/><Relationship Id="rId12" Type="http://schemas.openxmlformats.org/officeDocument/2006/relationships/fontTable" Target="fontTable.xml"/><Relationship Id="rId13" Type="http://schemas.openxmlformats.org/officeDocument/2006/relationships/settings" Target="settings.xml"/><Relationship Id="rId14" Type="http://schemas.openxmlformats.org/officeDocument/2006/relationships/theme" Target="theme/theme1.xml"/>
</Relationships>
</file>

<file path=word/theme/theme1.xml><?xml version="1.0" encoding="utf-8"?>
<a:theme xmlns:a="http://schemas.openxmlformats.org/drawingml/2006/main" xmlns:r="http://schemas.openxmlformats.org/officeDocument/2006/relationships" name="Tema do Office">
  <a:themeElements>
    <a:clrScheme name="Escritório">
      <a:dk1>
        <a:srgbClr val="000000"/>
      </a:dk1>
      <a:lt1>
        <a:srgbClr val="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Escritório">
      <a:majorFont>
        <a:latin typeface="Cambria" pitchFamily="0" charset="1"/>
        <a:ea typeface=""/>
        <a:cs typeface=""/>
      </a:majorFont>
      <a:minorFont>
        <a:latin typeface="Calibri" pitchFamily="0" charset="1"/>
        <a:ea typeface=""/>
        <a:cs typeface=""/>
      </a:minorFont>
    </a:fontScheme>
    <a:fmtScheme>
      <a:fillStyleLst>
        <a:solidFill>
          <a:schemeClr val="phClr"/>
        </a:solidFill>
        <a:gradFill>
          <a:gsLst>
            <a:gs pos="0">
              <a:schemeClr val="phClr">
                <a:tint val="50000"/>
              </a:schemeClr>
            </a:gs>
            <a:gs pos="35000">
              <a:schemeClr val="phClr">
                <a:tint val="37000"/>
              </a:schemeClr>
            </a:gs>
            <a:gs pos="100000">
              <a:schemeClr val="phClr">
                <a:tint val="15000"/>
              </a:schemeClr>
            </a:gs>
          </a:gsLst>
          <a:lin ang="16200000" scaled="1"/>
          <a:tileRect l="0" t="0" r="0" b="0"/>
        </a:gradFill>
        <a:gradFill>
          <a:gsLst>
            <a:gs pos="0">
              <a:schemeClr val="phClr">
                <a:shade val="51000"/>
              </a:schemeClr>
            </a:gs>
            <a:gs pos="80000">
              <a:schemeClr val="phClr">
                <a:shade val="93000"/>
              </a:schemeClr>
            </a:gs>
            <a:gs pos="100000">
              <a:schemeClr val="phClr">
                <a:shade val="94000"/>
              </a:schemeClr>
            </a:gs>
          </a:gsLst>
          <a:lin ang="16200000" scaled="0"/>
          <a:tileRect l="0" t="0" r="0" b="0"/>
        </a:gradFill>
      </a:fillStyleLst>
      <a:lnStyleLst>
        <a:ln w="9525" cap="flat" cmpd="sng" algn="ctr">
          <a:prstDash val="solid"/>
        </a:ln>
        <a:ln w="25400" cap="flat" cmpd="sng" algn="ctr">
          <a:prstDash val="solid"/>
        </a:ln>
        <a:ln w="38100" cap="flat" cmpd="sng" algn="ctr">
          <a:prstDash val="solid"/>
        </a:ln>
      </a:lnStyleLst>
      <a:effectStyleLst>
        <a:effectStyle>
          <a:effectLst/>
        </a:effectStyle>
        <a:effectStyle>
          <a:effectLst/>
        </a:effectStyle>
        <a:effectStyle>
          <a:effectLst/>
        </a:effectStyle>
      </a:effectStyleLst>
      <a:bgFillStyleLst>
        <a:solidFill>
          <a:schemeClr val="phClr"/>
        </a:solidFill>
        <a:gradFill>
          <a:gsLst>
            <a:gs pos="0">
              <a:schemeClr val="phClr">
                <a:tint val="40000"/>
              </a:schemeClr>
            </a:gs>
            <a:gs pos="40000">
              <a:schemeClr val="phClr">
                <a:tint val="45000"/>
                <a:shade val="99000"/>
              </a:schemeClr>
            </a:gs>
            <a:gs pos="100000">
              <a:schemeClr val="phClr">
                <a:shade val="20000"/>
              </a:schemeClr>
            </a:gs>
          </a:gsLst>
          <a:path path="circle">
            <a:fillToRect l="50000" t="-80000" r="50000" b="180000"/>
          </a:path>
          <a:tileRect l="0" t="0" r="0" b="0"/>
        </a:gradFill>
        <a:gradFill>
          <a:gsLst>
            <a:gs pos="0">
              <a:schemeClr val="phClr">
                <a:tint val="80000"/>
              </a:schemeClr>
            </a:gs>
            <a:gs pos="100000">
              <a:schemeClr val="phClr">
                <a:shade val="30000"/>
              </a:schemeClr>
            </a:gs>
          </a:gsLst>
          <a:path path="circle">
            <a:fillToRect l="50000" t="50000" r="50000" b="50000"/>
          </a:path>
          <a:tileRect l="0" t="0" r="0" b="0"/>
        </a:gradFill>
      </a:bgFillStyleLst>
    </a:fmtScheme>
  </a:themeElements>
</a:theme>
</file>

<file path=docProps/app.xml><?xml version="1.0" encoding="utf-8"?>
<Properties xmlns="http://schemas.openxmlformats.org/officeDocument/2006/extended-properties" xmlns:vt="http://schemas.openxmlformats.org/officeDocument/2006/docPropsVTypes">
  <Template>Normal.dotm</Template>
  <TotalTime>193</TotalTime>
  <Application>LibreOffice/24.2.7.2$Windows_X86_64 LibreOffice_project/ee3885777aa7032db5a9b65deec9457448a91162</Application>
  <AppVersion>15.0000</AppVersion>
  <Pages>9</Pages>
  <Words>3671</Words>
  <Characters>20105</Characters>
  <CharactersWithSpaces>23526</CharactersWithSpaces>
  <Paragraphs>221</Paragraphs>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2025-03-21T11:23:00Z</dcterms:created>
  <dc:creator/>
  <dc:description/>
  <dc:language>pt-BR</dc:language>
  <cp:lastModifiedBy/>
  <cp:lastPrinted>2026-01-05T11:04:42Z</cp:lastPrinted>
  <dcterms:modified xsi:type="dcterms:W3CDTF">2026-01-26T16:15:48Z</dcterms:modified>
  <cp:revision>9</cp:revision>
  <dc:subject/>
  <dc:title/>
</cp:coreProperties>
</file>

<file path=docProps/custom.xml><?xml version="1.0" encoding="utf-8"?>
<Properties xmlns="http://schemas.openxmlformats.org/officeDocument/2006/custom-properties" xmlns:vt="http://schemas.openxmlformats.org/officeDocument/2006/docPropsVTypes"/>
</file>